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jc w:val="both"/>
        <w:rPr>
          <w:rFonts w:ascii="Calibri" w:hAnsi="Calibri" w:cs="Times New Roman"/>
          <w:sz w:val="21"/>
        </w:rPr>
      </w:pPr>
      <w:bookmarkStart w:id="0" w:name="_Toc5774"/>
      <w:bookmarkStart w:id="1" w:name="_Toc8535"/>
      <w:r>
        <w:rPr>
          <w:rFonts w:hint="default" w:ascii="Calibri" w:hAnsi="Calibri" w:cs="Times New Roman"/>
          <w:sz w:val="48"/>
          <w:szCs w:val="24"/>
          <w:highlight w:val="none"/>
        </w:rPr>
        <w:pict>
          <v:shape id="_x0000_s1050" o:spid="_x0000_s1050" o:spt="75" type="#_x0000_t75" style="position:absolute;left:0pt;margin-left:336.1pt;margin-top:10.65pt;height:9.2pt;width:36.7pt;z-index:251676672;mso-width-relative:page;mso-height-relative:page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</v:shape>
          <o:OLEObject Type="Embed" ProgID="CorelDraw.Graphic.19" ShapeID="_x0000_s1050" DrawAspect="Content" ObjectID="_1468075725" r:id="rId35">
            <o:LockedField>false</o:LockedField>
          </o:OLEObject>
        </w:pict>
      </w:r>
      <w:r>
        <w:rPr>
          <w:rFonts w:ascii="Calibri" w:hAnsi="Calibri" w:cs="Times New Roman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2527300</wp:posOffset>
                </wp:positionH>
                <wp:positionV relativeFrom="paragraph">
                  <wp:posOffset>53975</wp:posOffset>
                </wp:positionV>
                <wp:extent cx="915670" cy="25463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94025" y="1290955"/>
                          <a:ext cx="915670" cy="254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both"/>
                              <w:rPr>
                                <w:rFonts w:ascii="Calibri" w:hAnsi="Calibri" w:cs="Times New Roman"/>
                                <w:sz w:val="21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color w:val="B32123"/>
                                <w:sz w:val="18"/>
                                <w:szCs w:val="18"/>
                              </w:rPr>
                              <w:t>User</w:t>
                            </w:r>
                            <w:r>
                              <w:rPr>
                                <w:rFonts w:ascii="Arial" w:hAnsi="Arial" w:eastAsia="Arial" w:cs="Arial"/>
                                <w:color w:val="B32123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color w:val="B32123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pt;margin-top:4.25pt;height:20.05pt;width:72.1pt;z-index:251660288;mso-width-relative:page;mso-height-relative:page;" filled="f" stroked="f" coordsize="21600,21600" o:gfxdata="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ZDxb7aAAAACAEAAA8A&#10;AAAAAAAAAQAgAAAAIgAAAGRycy9kb3ducmV2LnhtbFBLAQIUABQAAAAIAIdO4kA7bU5iTgIAAIEE&#10;AAAOAAAAAAAAAAEAIAAAACkBAABkcnMvZTJvRG9jLnhtbFBLBQYAAAAABgAGAFkBAADp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both"/>
                        <w:rPr>
                          <w:rFonts w:ascii="Calibri" w:hAnsi="Calibri" w:cs="Times New Roman"/>
                          <w:sz w:val="21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color w:val="B32123"/>
                          <w:sz w:val="18"/>
                          <w:szCs w:val="18"/>
                        </w:rPr>
                        <w:t>User</w:t>
                      </w:r>
                      <w:r>
                        <w:rPr>
                          <w:rFonts w:ascii="Arial" w:hAnsi="Arial" w:eastAsia="Arial" w:cs="Arial"/>
                          <w:color w:val="B32123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color w:val="B32123"/>
                          <w:sz w:val="18"/>
                          <w:szCs w:val="18"/>
                        </w:rPr>
                        <w:t>Manual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page">
                  <wp:posOffset>276225</wp:posOffset>
                </wp:positionH>
                <wp:positionV relativeFrom="page">
                  <wp:posOffset>3268980</wp:posOffset>
                </wp:positionV>
                <wp:extent cx="2232025" cy="7620"/>
                <wp:effectExtent l="0" t="0" r="0" b="0"/>
                <wp:wrapNone/>
                <wp:docPr id="30" name="任意多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2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515" h="12">
                              <a:moveTo>
                                <a:pt x="0" y="5"/>
                              </a:moveTo>
                              <a:lnTo>
                                <a:pt x="3514" y="5"/>
                              </a:lnTo>
                            </a:path>
                          </a:pathLst>
                        </a:custGeom>
                        <a:noFill/>
                        <a:ln w="7239" cap="flat" cmpd="sng">
                          <a:solidFill>
                            <a:srgbClr val="B32123"/>
                          </a:solidFill>
                          <a:prstDash val="solid"/>
                          <a:miter lim="22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1.75pt;margin-top:257.4pt;height:0.6pt;width:175.75pt;mso-position-horizontal-relative:page;mso-position-vertical-relative:page;z-index:251672576;mso-width-relative:page;mso-height-relative:page;" filled="f" stroked="t" coordsize="3515,12" o:allowincell="f" o:gfxdata="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a5Qk9cAAAAKAQAADwAAAAAA&#10;AAABACAAAAAiAAAAZHJzL2Rvd25yZXYueG1sUEsBAhQAFAAAAAgAh07iQEaM9RBNAgAAtAQAAA4A&#10;AAAAAAAAAQAgAAAAJgEAAGRycy9lMm9Eb2MueG1sUEsFBgAAAAAGAAYAWQEAAOUFAAAAAA==&#10;" path="m0,5l3514,5e">
                <v:fill on="f" focussize="0,0"/>
                <v:stroke weight="0.57pt" color="#B32123" miterlimit="22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Times New Roman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page">
                  <wp:posOffset>2770505</wp:posOffset>
                </wp:positionH>
                <wp:positionV relativeFrom="page">
                  <wp:posOffset>3268980</wp:posOffset>
                </wp:positionV>
                <wp:extent cx="2232025" cy="7620"/>
                <wp:effectExtent l="0" t="0" r="0" b="0"/>
                <wp:wrapNone/>
                <wp:docPr id="28" name="任意多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2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515" h="12">
                              <a:moveTo>
                                <a:pt x="0" y="5"/>
                              </a:moveTo>
                              <a:lnTo>
                                <a:pt x="3514" y="5"/>
                              </a:lnTo>
                            </a:path>
                          </a:pathLst>
                        </a:custGeom>
                        <a:noFill/>
                        <a:ln w="7239" cap="flat" cmpd="sng">
                          <a:solidFill>
                            <a:srgbClr val="B32123"/>
                          </a:solidFill>
                          <a:prstDash val="solid"/>
                          <a:miter lim="22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18.15pt;margin-top:257.4pt;height:0.6pt;width:175.75pt;mso-position-horizontal-relative:page;mso-position-vertical-relative:page;z-index:251669504;mso-width-relative:page;mso-height-relative:page;" filled="f" stroked="t" coordsize="3515,12" o:allowincell="f" o:gfxdata="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usNEO2AAAAAsBAAAPAAAA&#10;AAAAAAEAIAAAACIAAABkcnMvZG93bnJldi54bWxQSwECFAAUAAAACACHTuJAFJxcD04CAAC0BAAA&#10;DgAAAAAAAAABACAAAAAnAQAAZHJzL2Uyb0RvYy54bWxQSwUGAAAAAAYABgBZAQAA5wUAAAAA&#10;" path="m0,5l3514,5e">
                <v:fill on="f" focussize="0,0"/>
                <v:stroke weight="0.57pt" color="#B32123" miterlimit="22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2540635</wp:posOffset>
                </wp:positionH>
                <wp:positionV relativeFrom="paragraph">
                  <wp:posOffset>266700</wp:posOffset>
                </wp:positionV>
                <wp:extent cx="2239645" cy="43815"/>
                <wp:effectExtent l="1270" t="1905" r="6985" b="11430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645" cy="4381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527" h="69">
                              <a:moveTo>
                                <a:pt x="5" y="5"/>
                              </a:moveTo>
                              <a:lnTo>
                                <a:pt x="3520" y="5"/>
                              </a:lnTo>
                              <a:lnTo>
                                <a:pt x="3520" y="62"/>
                              </a:lnTo>
                              <a:lnTo>
                                <a:pt x="5" y="62"/>
                              </a:lnTo>
                              <a:lnTo>
                                <a:pt x="5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2123"/>
                        </a:solidFill>
                        <a:ln w="7239" cap="flat" cmpd="sng">
                          <a:solidFill>
                            <a:srgbClr val="B32123"/>
                          </a:solidFill>
                          <a:prstDash val="solid"/>
                          <a:miter lim="22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00.05pt;margin-top:21pt;height:3.45pt;width:176.35pt;z-index:251659264;mso-width-relative:page;mso-height-relative:page;" fillcolor="#B32123" filled="t" stroked="t" coordsize="3527,69" o:gfxdata="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C00MprXAAAACQEAAA8AAAAAAAAAAQAgAAAAIgAAAGRycy9kb3ducmV2Lnht&#10;bFBLAQIUABQAAAAIAIdO4kAEOmsRbAIAAFcFAAAOAAAAAAAAAAEAIAAAACYBAABkcnMvZTJvRG9j&#10;LnhtbFBLBQYAAAAABgAGAFkBAAAEBgAAAAA=&#10;" path="m5,5l3520,5,3520,62,5,62,5,5xe">
                <v:fill on="t" focussize="0,0"/>
                <v:stroke weight="0.57pt" color="#B32123" miterlimit="22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pStyle w:val="4"/>
        <w:numPr>
          <w:ilvl w:val="2"/>
          <w:numId w:val="0"/>
        </w:numPr>
        <w:ind w:leftChars="0"/>
        <w:outlineLvl w:val="0"/>
        <w:rPr>
          <w:rFonts w:hint="eastAsia" w:ascii="Times New Roman" w:hAnsi="Times New Roman" w:eastAsia="宋体"/>
          <w:sz w:val="21"/>
          <w:szCs w:val="21"/>
        </w:rPr>
        <w:sectPr>
          <w:footerReference r:id="rId6" w:type="default"/>
          <w:headerReference r:id="rId5" w:type="even"/>
          <w:pgSz w:w="8390" w:h="5952" w:orient="landscape"/>
          <w:pgMar w:top="386" w:right="431" w:bottom="0" w:left="431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0" w:num="1"/>
          <w:rtlGutter w:val="0"/>
          <w:docGrid w:type="lines" w:linePitch="312" w:charSpace="0"/>
        </w:sectPr>
      </w:pPr>
      <w:r>
        <w:rPr>
          <w:rFonts w:ascii="Calibri" w:hAnsi="Calibri" w:cs="Times New Roman"/>
          <w:sz w:val="20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3417570</wp:posOffset>
            </wp:positionH>
            <wp:positionV relativeFrom="paragraph">
              <wp:posOffset>1019175</wp:posOffset>
            </wp:positionV>
            <wp:extent cx="457835" cy="1572895"/>
            <wp:effectExtent l="67945" t="17145" r="83820" b="29210"/>
            <wp:wrapNone/>
            <wp:docPr id="3" name="图片 3" descr="更正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更正图片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300000">
                      <a:off x="0" y="0"/>
                      <a:ext cx="457835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libri" w:hAnsi="Calibri" w:cs="Times New Roman"/>
          <w:sz w:val="48"/>
          <w:szCs w:val="24"/>
          <w:highlight w:val="none"/>
        </w:rPr>
        <w:pict>
          <v:shape id="_x0000_s1041" o:spid="_x0000_s1041" o:spt="75" type="#_x0000_t75" style="position:absolute;left:0pt;margin-left:2.5pt;margin-top:211.9pt;height:9.2pt;width:36.7pt;z-index:251674624;mso-width-relative:page;mso-height-relative:page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</v:shape>
          <o:OLEObject Type="Embed" ProgID="CorelDraw.Graphic.19" ShapeID="_x0000_s1041" DrawAspect="Content" ObjectID="_1468075726" r:id="rId38">
            <o:LockedField>false</o:LockedField>
          </o:OLEObject>
        </w:pict>
      </w:r>
      <w:r>
        <w:rPr>
          <w:rFonts w:ascii="Calibri" w:hAnsi="Calibri" w:cs="Times New Roman"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2732405</wp:posOffset>
                </wp:positionV>
                <wp:extent cx="2493010" cy="40894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8670" y="1921510"/>
                          <a:ext cx="2493010" cy="408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both"/>
                              <w:rPr>
                                <w:rFonts w:ascii="Calibri" w:hAnsi="Calibri" w:cs="Times New Roman"/>
                                <w:sz w:val="21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1"/>
                                <w:position w:val="1"/>
                                <w:sz w:val="10"/>
                                <w:szCs w:val="10"/>
                              </w:rPr>
                              <w:t xml:space="preserve">杭州美仪自动化有限公司 </w:t>
                            </w:r>
                            <w:r>
                              <w:rPr>
                                <w:rFonts w:ascii="黑体" w:hAnsi="黑体" w:eastAsia="黑体" w:cs="黑体"/>
                                <w:spacing w:val="1"/>
                                <w:position w:val="1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>
                              <w:rPr>
                                <w:rFonts w:ascii="黑体" w:hAnsi="黑体" w:eastAsia="黑体" w:cs="黑体"/>
                                <w:position w:val="1"/>
                                <w:sz w:val="12"/>
                                <w:szCs w:val="12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position w:val="1"/>
                                <w:sz w:val="12"/>
                                <w:szCs w:val="12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position w:val="1"/>
                                <w:sz w:val="10"/>
                                <w:szCs w:val="10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ascii="黑体" w:hAnsi="黑体" w:eastAsia="黑体" w:cs="黑体"/>
                                <w:position w:val="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position w:val="4"/>
                                <w:sz w:val="10"/>
                                <w:szCs w:val="10"/>
                              </w:rPr>
                              <w:t>www.supmea.com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95pt;margin-top:215.15pt;height:32.2pt;width:196.3pt;z-index:251673600;mso-width-relative:page;mso-height-relative:page;" filled="f" stroked="f" coordsize="21600,21600" o:gfxdata="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2ot7NwAAAAKAQAA&#10;DwAAAAAAAAABACAAAAAiAAAAZHJzL2Rvd25yZXYueG1sUEsBAhQAFAAAAAgAh07iQKnWdIxOAgAA&#10;gQQAAA4AAAAAAAAAAQAgAAAAKwEAAGRycy9lMm9Eb2MueG1sUEsFBgAAAAAGAAYAWQEAAOsFAAAA&#10;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both"/>
                        <w:rPr>
                          <w:rFonts w:ascii="Calibri" w:hAnsi="Calibri" w:cs="Times New Roman"/>
                          <w:sz w:val="21"/>
                        </w:rPr>
                      </w:pPr>
                      <w:r>
                        <w:rPr>
                          <w:rFonts w:ascii="黑体" w:hAnsi="黑体" w:eastAsia="黑体" w:cs="黑体"/>
                          <w:spacing w:val="1"/>
                          <w:position w:val="1"/>
                          <w:sz w:val="10"/>
                          <w:szCs w:val="10"/>
                        </w:rPr>
                        <w:t xml:space="preserve">杭州美仪自动化有限公司 </w:t>
                      </w:r>
                      <w:r>
                        <w:rPr>
                          <w:rFonts w:ascii="黑体" w:hAnsi="黑体" w:eastAsia="黑体" w:cs="黑体"/>
                          <w:spacing w:val="1"/>
                          <w:position w:val="1"/>
                          <w:sz w:val="12"/>
                          <w:szCs w:val="12"/>
                        </w:rPr>
                        <w:t xml:space="preserve">    </w:t>
                      </w:r>
                      <w:r>
                        <w:rPr>
                          <w:rFonts w:ascii="黑体" w:hAnsi="黑体" w:eastAsia="黑体" w:cs="黑体"/>
                          <w:position w:val="1"/>
                          <w:sz w:val="12"/>
                          <w:szCs w:val="12"/>
                        </w:rPr>
                        <w:t xml:space="preserve">           </w:t>
                      </w:r>
                      <w:r>
                        <w:rPr>
                          <w:rFonts w:hint="eastAsia" w:ascii="黑体" w:hAnsi="黑体" w:eastAsia="黑体" w:cs="黑体"/>
                          <w:position w:val="1"/>
                          <w:sz w:val="12"/>
                          <w:szCs w:val="12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 w:cs="黑体"/>
                          <w:position w:val="1"/>
                          <w:sz w:val="10"/>
                          <w:szCs w:val="10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ascii="黑体" w:hAnsi="黑体" w:eastAsia="黑体" w:cs="黑体"/>
                          <w:position w:val="1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position w:val="4"/>
                          <w:sz w:val="10"/>
                          <w:szCs w:val="10"/>
                        </w:rPr>
                        <w:t>www.supmea.com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1776730</wp:posOffset>
            </wp:positionH>
            <wp:positionV relativeFrom="paragraph">
              <wp:posOffset>2224405</wp:posOffset>
            </wp:positionV>
            <wp:extent cx="415290" cy="415290"/>
            <wp:effectExtent l="0" t="0" r="3810" b="3810"/>
            <wp:wrapNone/>
            <wp:docPr id="29" name="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Times New Roman"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848995</wp:posOffset>
                </wp:positionH>
                <wp:positionV relativeFrom="paragraph">
                  <wp:posOffset>2620645</wp:posOffset>
                </wp:positionV>
                <wp:extent cx="1325245" cy="22415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15670" y="1640840"/>
                          <a:ext cx="1325245" cy="224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0" w:firstLineChars="0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  <w:t>更多资讯请扫二维码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0" w:firstLineChars="0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  <w:t>服务电话</w:t>
                            </w:r>
                            <w:r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： 400-960-9868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85pt;margin-top:206.35pt;height:17.65pt;width:104.35pt;z-index:251671552;mso-width-relative:page;mso-height-relative:page;" filled="f" stroked="f" coordsize="21600,21600" o:gfxdata="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s59/rYAAAACwEAAA8AAAAAAAAAAQAgAAAA&#10;IgAAAGRycy9kb3ducmV2LnhtbFBLAQIUABQAAAAIAIdO4kApgkJCRAIAAHEEAAAOAAAAAAAAAAEA&#10;IAAAACc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0" w:firstLineChars="0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  <w:t>更多资讯请扫二维码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0" w:firstLineChars="0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  <w:t>服务电话</w:t>
                      </w:r>
                      <w:r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： 400-960-9868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2789555</wp:posOffset>
                </wp:positionV>
                <wp:extent cx="2169795" cy="1651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79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9" w:line="221" w:lineRule="auto"/>
                              <w:ind w:left="20" w:firstLine="0" w:firstLineChars="0"/>
                              <w:jc w:val="both"/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"/>
                                <w:sz w:val="10"/>
                                <w:szCs w:val="10"/>
                              </w:rPr>
                              <w:t>杭州美仪</w:t>
                            </w:r>
                            <w:r>
                              <w:rPr>
                                <w:rFonts w:ascii="黑体" w:hAnsi="黑体" w:eastAsia="黑体" w:cs="黑体"/>
                                <w:sz w:val="10"/>
                                <w:szCs w:val="10"/>
                              </w:rPr>
                              <w:t>自动化有限公司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U-SUP</w:t>
                            </w:r>
                            <w:r>
                              <w:rPr>
                                <w:rFonts w:hint="eastAsia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-ASP2060</w:t>
                            </w:r>
                            <w:r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-CN1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8pt;margin-top:219.65pt;height:13pt;width:170.85pt;z-index:251670528;mso-width-relative:page;mso-height-relative:page;" filled="f" stroked="f" coordsize="21600,21600" o:gfxdata="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hpEji2gAAAAsBAAAPAAAAAAAAAAEAIAAAACIAAABkcnMvZG93bnJldi54&#10;bWxQSwECFAAUAAAACACHTuJAQGdBXL8BAACAAwAADgAAAAAAAAABACAAAAApAQAAZHJzL2Uyb0Rv&#10;Yy54bWxQSwUGAAAAAAYABgBZAQAAW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9" w:line="221" w:lineRule="auto"/>
                        <w:ind w:left="20" w:firstLine="0" w:firstLineChars="0"/>
                        <w:jc w:val="both"/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"/>
                          <w:sz w:val="10"/>
                          <w:szCs w:val="10"/>
                        </w:rPr>
                        <w:t>杭州美仪</w:t>
                      </w:r>
                      <w:r>
                        <w:rPr>
                          <w:rFonts w:ascii="黑体" w:hAnsi="黑体" w:eastAsia="黑体" w:cs="黑体"/>
                          <w:sz w:val="10"/>
                          <w:szCs w:val="10"/>
                        </w:rPr>
                        <w:t>自动化有限公司</w:t>
                      </w:r>
                      <w:r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  <w:t xml:space="preserve">                          </w:t>
                      </w:r>
                      <w:r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U-SUP</w:t>
                      </w:r>
                      <w:r>
                        <w:rPr>
                          <w:rFonts w:hint="eastAsia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-ASP2060</w:t>
                      </w:r>
                      <w:r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-CN1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2845435</wp:posOffset>
                </wp:positionH>
                <wp:positionV relativeFrom="paragraph">
                  <wp:posOffset>345440</wp:posOffset>
                </wp:positionV>
                <wp:extent cx="1550670" cy="771525"/>
                <wp:effectExtent l="0" t="0" r="11430" b="952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67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before="0" w:beforeLines="30" w:line="363" w:lineRule="auto"/>
                              <w:ind w:left="0" w:right="0" w:hanging="11" w:firstLineChars="0"/>
                              <w:jc w:val="center"/>
                              <w:textAlignment w:val="baseline"/>
                              <w:rPr>
                                <w:rFonts w:hint="default" w:ascii="黑体" w:hAnsi="黑体" w:eastAsia="黑体" w:cs="黑体"/>
                                <w:spacing w:val="-2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pacing w:val="-2"/>
                                <w:sz w:val="22"/>
                                <w:szCs w:val="22"/>
                                <w:lang w:val="en-US" w:eastAsia="zh-CN"/>
                              </w:rPr>
                              <w:t>pH玻璃电极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363" w:lineRule="auto"/>
                              <w:ind w:left="0" w:right="0" w:hanging="10" w:firstLineChars="0"/>
                              <w:jc w:val="center"/>
                              <w:textAlignment w:val="baseline"/>
                              <w:rPr>
                                <w:rFonts w:ascii="黑体" w:hAnsi="黑体" w:eastAsia="黑体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2"/>
                                <w:sz w:val="22"/>
                                <w:szCs w:val="22"/>
                              </w:rPr>
                              <w:t>使用说</w:t>
                            </w:r>
                            <w:r>
                              <w:rPr>
                                <w:rFonts w:ascii="黑体" w:hAnsi="黑体" w:eastAsia="黑体" w:cs="黑体"/>
                                <w:spacing w:val="-1"/>
                                <w:sz w:val="22"/>
                                <w:szCs w:val="22"/>
                              </w:rPr>
                              <w:t>明书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right="0" w:firstLine="0" w:firstLineChars="0"/>
                              <w:jc w:val="both"/>
                              <w:textAlignment w:val="baseline"/>
                              <w:rPr>
                                <w:rFonts w:ascii="Calibri" w:hAnsi="Calibri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4.05pt;margin-top:27.2pt;height:60.75pt;width:122.1pt;z-index:251668480;mso-width-relative:page;mso-height-relative:page;" fillcolor="#FFFFFF" filled="t" stroked="f" coordsize="21600,21600" o:gfxdata="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m6u/K1gAAAAoB&#10;AAAPAAAAAAAAAAEAIAAAACIAAABkcnMvZG93bnJldi54bWxQSwECFAAUAAAACACHTuJA/pZ0alYC&#10;AACfBAAADgAAAAAAAAABACAAAAAl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before="0" w:beforeLines="30" w:line="363" w:lineRule="auto"/>
                        <w:ind w:left="0" w:right="0" w:hanging="11" w:firstLineChars="0"/>
                        <w:jc w:val="center"/>
                        <w:textAlignment w:val="baseline"/>
                        <w:rPr>
                          <w:rFonts w:hint="default" w:ascii="黑体" w:hAnsi="黑体" w:eastAsia="黑体" w:cs="黑体"/>
                          <w:spacing w:val="-2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pacing w:val="-2"/>
                          <w:sz w:val="22"/>
                          <w:szCs w:val="22"/>
                          <w:lang w:val="en-US" w:eastAsia="zh-CN"/>
                        </w:rPr>
                        <w:t>pH玻璃电极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line="363" w:lineRule="auto"/>
                        <w:ind w:left="0" w:right="0" w:hanging="10" w:firstLineChars="0"/>
                        <w:jc w:val="center"/>
                        <w:textAlignment w:val="baseline"/>
                        <w:rPr>
                          <w:rFonts w:ascii="黑体" w:hAnsi="黑体" w:eastAsia="黑体" w:cs="黑体"/>
                          <w:sz w:val="22"/>
                          <w:szCs w:val="22"/>
                        </w:rPr>
                      </w:pPr>
                      <w:r>
                        <w:rPr>
                          <w:rFonts w:ascii="黑体" w:hAnsi="黑体" w:eastAsia="黑体" w:cs="黑体"/>
                          <w:spacing w:val="-2"/>
                          <w:sz w:val="22"/>
                          <w:szCs w:val="22"/>
                        </w:rPr>
                        <w:t>使用说</w:t>
                      </w:r>
                      <w:r>
                        <w:rPr>
                          <w:rFonts w:ascii="黑体" w:hAnsi="黑体" w:eastAsia="黑体" w:cs="黑体"/>
                          <w:spacing w:val="-1"/>
                          <w:sz w:val="22"/>
                          <w:szCs w:val="22"/>
                        </w:rPr>
                        <w:t>明书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line="240" w:lineRule="auto"/>
                        <w:ind w:left="0" w:right="0" w:firstLine="0" w:firstLineChars="0"/>
                        <w:jc w:val="both"/>
                        <w:textAlignment w:val="baseline"/>
                        <w:rPr>
                          <w:rFonts w:ascii="Calibri" w:hAnsi="Calibri" w:cs="Times New Roman"/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4"/>
        <w:numPr>
          <w:ilvl w:val="2"/>
          <w:numId w:val="0"/>
        </w:numPr>
        <w:ind w:leftChars="0"/>
        <w:outlineLvl w:val="0"/>
        <w:rPr>
          <w:rFonts w:ascii="Times New Roman" w:hAnsi="Times New Roman" w:eastAsia="宋体"/>
          <w:sz w:val="21"/>
          <w:szCs w:val="21"/>
        </w:rPr>
      </w:pPr>
      <w:bookmarkStart w:id="2" w:name="_Toc24642"/>
      <w:r>
        <w:rPr>
          <w:rFonts w:hint="eastAsia" w:ascii="Times New Roman" w:hAnsi="Times New Roman" w:eastAsia="宋体"/>
          <w:sz w:val="21"/>
          <w:szCs w:val="21"/>
        </w:rPr>
        <w:t>前言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本手册是关于产品的各项功能、接线方法、设置方法、操作方法、故障处理方法等的说明书。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>
      <w:pPr>
        <w:pStyle w:val="4"/>
        <w:numPr>
          <w:ilvl w:val="2"/>
          <w:numId w:val="0"/>
        </w:numPr>
        <w:ind w:leftChars="0"/>
        <w:outlineLvl w:val="0"/>
        <w:rPr>
          <w:rFonts w:ascii="Times New Roman" w:hAnsi="Times New Roman" w:eastAsia="宋体"/>
          <w:sz w:val="21"/>
          <w:szCs w:val="21"/>
        </w:rPr>
      </w:pPr>
      <w:bookmarkStart w:id="3" w:name="_Toc12313"/>
      <w:bookmarkStart w:id="4" w:name="_Toc7986"/>
      <w:bookmarkStart w:id="5" w:name="_Toc15651"/>
      <w:r>
        <w:rPr>
          <w:rFonts w:hint="eastAsia" w:ascii="Times New Roman" w:hAnsi="Times New Roman" w:eastAsia="宋体"/>
          <w:sz w:val="21"/>
          <w:szCs w:val="21"/>
        </w:rPr>
        <w:t>注意</w:t>
      </w:r>
      <w:bookmarkEnd w:id="3"/>
      <w:bookmarkEnd w:id="4"/>
      <w:bookmarkEnd w:id="5"/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请根据本产品的防爆特性，遵守国家、地区法律法规要求使用本产品。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>
      <w:pPr>
        <w:pStyle w:val="4"/>
        <w:keepNext/>
        <w:keepLines/>
        <w:pageBreakBefore w:val="0"/>
        <w:widowControl/>
        <w:numPr>
          <w:ilvl w:val="2"/>
          <w:numId w:val="0"/>
        </w:numP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240" w:lineRule="atLeast"/>
        <w:ind w:leftChars="0"/>
        <w:textAlignment w:val="auto"/>
        <w:outlineLvl w:val="0"/>
        <w:rPr>
          <w:rFonts w:hint="eastAsia" w:ascii="Times New Roman" w:hAnsi="Times New Roman" w:eastAsia="宋体" w:cs="Times New Roman"/>
          <w:sz w:val="21"/>
          <w:szCs w:val="21"/>
        </w:rPr>
      </w:pPr>
      <w:bookmarkStart w:id="6" w:name="_Toc29151"/>
      <w:bookmarkStart w:id="7" w:name="_Toc23877"/>
      <w:bookmarkStart w:id="8" w:name="_Toc18907"/>
      <w:r>
        <w:rPr>
          <w:rFonts w:hint="eastAsia" w:ascii="Times New Roman" w:hAnsi="Times New Roman" w:eastAsia="宋体" w:cs="Times New Roman"/>
          <w:sz w:val="21"/>
          <w:szCs w:val="21"/>
        </w:rPr>
        <w:t>版本</w:t>
      </w:r>
      <w:bookmarkEnd w:id="6"/>
      <w:bookmarkEnd w:id="7"/>
      <w:bookmarkEnd w:id="8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200"/>
        <w:textAlignment w:val="auto"/>
        <w:outlineLvl w:val="9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U-SUP-</w:t>
      </w:r>
      <w:r>
        <w:rPr>
          <w:rFonts w:hint="eastAsia" w:cs="Times New Roman"/>
          <w:lang w:val="en-US" w:eastAsia="zh-CN"/>
        </w:rPr>
        <w:t>ASP2060</w:t>
      </w:r>
      <w:r>
        <w:rPr>
          <w:rFonts w:hint="eastAsia" w:ascii="Times New Roman" w:hAnsi="Times New Roman" w:eastAsia="宋体" w:cs="Times New Roman"/>
          <w:lang w:val="en-US" w:eastAsia="zh-CN"/>
        </w:rPr>
        <w:t>-CN</w:t>
      </w:r>
      <w:r>
        <w:rPr>
          <w:rFonts w:hint="eastAsia" w:cs="Times New Roman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lang w:val="en-US" w:eastAsia="zh-CN"/>
        </w:rPr>
        <w:t>第</w:t>
      </w:r>
      <w:r>
        <w:rPr>
          <w:rFonts w:hint="eastAsia"/>
          <w:lang w:val="en-US" w:eastAsia="zh-CN"/>
        </w:rPr>
        <w:t>一</w:t>
      </w:r>
      <w:r>
        <w:rPr>
          <w:rFonts w:hint="eastAsia" w:ascii="Times New Roman" w:hAnsi="Times New Roman" w:eastAsia="宋体"/>
          <w:lang w:val="en-US" w:eastAsia="zh-CN"/>
        </w:rPr>
        <w:t>版 202</w:t>
      </w:r>
      <w:r>
        <w:rPr>
          <w:rFonts w:hint="eastAsia"/>
          <w:lang w:val="en-US" w:eastAsia="zh-CN"/>
        </w:rPr>
        <w:t>5</w:t>
      </w:r>
      <w:r>
        <w:rPr>
          <w:rFonts w:hint="eastAsia" w:ascii="Times New Roman" w:hAnsi="Times New Roman" w:eastAsia="宋体"/>
          <w:lang w:val="en-US" w:eastAsia="zh-CN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 w:ascii="Times New Roman" w:hAnsi="Times New Roman" w:eastAsia="宋体"/>
          <w:lang w:val="en-US" w:eastAsia="zh-CN"/>
        </w:rPr>
        <w:t>月</w:t>
      </w:r>
    </w:p>
    <w:p>
      <w:pPr>
        <w:pStyle w:val="4"/>
        <w:keepNext/>
        <w:keepLines/>
        <w:pageBreakBefore w:val="0"/>
        <w:widowControl/>
        <w:numPr>
          <w:ilvl w:val="2"/>
          <w:numId w:val="0"/>
        </w:numP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240" w:lineRule="auto"/>
        <w:ind w:leftChars="0"/>
        <w:textAlignment w:val="auto"/>
        <w:outlineLvl w:val="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bookmarkStart w:id="9" w:name="_Toc11227"/>
      <w:bookmarkStart w:id="10" w:name="_Toc8789"/>
      <w:bookmarkStart w:id="11" w:name="_Toc10238"/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确认包装内容</w:t>
      </w:r>
      <w:bookmarkEnd w:id="9"/>
      <w:bookmarkEnd w:id="10"/>
      <w:bookmarkEnd w:id="11"/>
    </w:p>
    <w:p>
      <w:pPr>
        <w:pStyle w:val="24"/>
        <w:ind w:firstLine="300" w:firstLine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打开包装箱后，开始操作之前请先确认包装内容。如发现型号和数量有误或者外观上有物理损坏时，请与本公司联系。</w:t>
      </w:r>
    </w:p>
    <w:p>
      <w:pPr>
        <w:pStyle w:val="24"/>
        <w:ind w:firstLine="300" w:firstLine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产品包装内容见标准配置清单。</w:t>
      </w:r>
    </w:p>
    <w:p>
      <w:pPr>
        <w:pStyle w:val="2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ascii="Times New Roman" w:hAnsi="Times New Roman" w:eastAsia="宋体" w:cs="Times New Roman"/>
          <w:sz w:val="15"/>
          <w:szCs w:val="15"/>
        </w:rPr>
      </w:pPr>
      <w:r>
        <w:rPr>
          <w:rFonts w:hint="eastAsia" w:ascii="Times New Roman" w:hAnsi="Times New Roman" w:cs="Times New Roman"/>
          <w:lang w:val="en-US" w:eastAsia="zh-CN"/>
        </w:rPr>
        <w:t>标准配置清单</w:t>
      </w:r>
    </w:p>
    <w:tbl>
      <w:tblPr>
        <w:tblStyle w:val="20"/>
        <w:tblW w:w="3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712"/>
        <w:gridCol w:w="838"/>
        <w:gridCol w:w="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D7D7D7" w:themeFill="background1" w:themeFillShade="D8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序号</w:t>
            </w:r>
          </w:p>
        </w:tc>
        <w:tc>
          <w:tcPr>
            <w:tcW w:w="1712" w:type="dxa"/>
            <w:shd w:val="clear" w:color="auto" w:fill="D7D7D7" w:themeFill="background1" w:themeFillShade="D8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物品名称</w:t>
            </w:r>
          </w:p>
        </w:tc>
        <w:tc>
          <w:tcPr>
            <w:tcW w:w="838" w:type="dxa"/>
            <w:shd w:val="clear" w:color="auto" w:fill="D7D7D7" w:themeFill="background1" w:themeFillShade="D8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数量</w:t>
            </w:r>
          </w:p>
        </w:tc>
        <w:tc>
          <w:tcPr>
            <w:tcW w:w="708" w:type="dxa"/>
            <w:shd w:val="clear" w:color="auto" w:fill="D7D7D7" w:themeFill="background1" w:themeFillShade="D8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1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5"/>
                <w:szCs w:val="15"/>
                <w:lang w:val="en-US" w:eastAsia="zh-CN"/>
              </w:rPr>
              <w:t>pH玻璃电极</w:t>
            </w:r>
          </w:p>
        </w:tc>
        <w:tc>
          <w:tcPr>
            <w:tcW w:w="83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171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说明书</w:t>
            </w:r>
          </w:p>
        </w:tc>
        <w:tc>
          <w:tcPr>
            <w:tcW w:w="83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171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合格证</w:t>
            </w:r>
          </w:p>
        </w:tc>
        <w:tc>
          <w:tcPr>
            <w:tcW w:w="83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sdt>
      <w:sdtPr>
        <w:rPr>
          <w:rFonts w:ascii="宋体" w:hAnsi="宋体" w:eastAsia="宋体" w:cstheme="minorBidi"/>
          <w:b/>
          <w:bCs/>
          <w:kern w:val="2"/>
          <w:sz w:val="21"/>
          <w:szCs w:val="24"/>
          <w:lang w:val="en-US" w:eastAsia="zh-CN" w:bidi="ar-SA"/>
        </w:rPr>
        <w:id w:val="147458617"/>
        <w15:color w:val="DBDBDB"/>
        <w:docPartObj>
          <w:docPartGallery w:val="Table of Contents"/>
          <w:docPartUnique/>
        </w:docPartObj>
      </w:sdtPr>
      <w:sdtEndPr>
        <w:rPr>
          <w:rFonts w:hint="eastAsia" w:ascii="Times New Roman" w:hAnsi="Times New Roman" w:eastAsia="宋体" w:cs="Times New Roman"/>
          <w:b/>
          <w:bCs/>
          <w:kern w:val="2"/>
          <w:sz w:val="15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</w:rPr>
          </w:pPr>
          <w:r>
            <w:rPr>
              <w:rFonts w:ascii="宋体" w:hAnsi="宋体" w:eastAsia="宋体"/>
              <w:b/>
              <w:bCs/>
              <w:sz w:val="21"/>
            </w:rPr>
            <w:t>目录</w:t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TOC \o "1-2" \h \u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_Toc1644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/>
              <w:b w:val="0"/>
              <w:sz w:val="15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/>
              <w:b w:val="0"/>
              <w:sz w:val="15"/>
              <w:lang w:eastAsia="zh-CN"/>
            </w:rPr>
            <w:t>产品</w:t>
          </w:r>
          <w:r>
            <w:rPr>
              <w:rFonts w:hint="eastAsia" w:ascii="Times New Roman" w:hAnsi="Times New Roman"/>
              <w:b w:val="0"/>
              <w:sz w:val="15"/>
              <w:lang w:val="en-US" w:eastAsia="zh-CN"/>
            </w:rPr>
            <w:t>概述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_Toc1644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1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7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_Toc2527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 w:cs="宋体"/>
              <w:b w:val="0"/>
              <w:sz w:val="15"/>
              <w:lang w:val="en-US" w:eastAsia="zh-CN"/>
            </w:rPr>
            <w:t xml:space="preserve">1.1 </w:t>
          </w:r>
          <w:r>
            <w:rPr>
              <w:rFonts w:hint="eastAsia" w:ascii="Times New Roman" w:hAnsi="Times New Roman"/>
              <w:b w:val="0"/>
              <w:sz w:val="15"/>
              <w:lang w:val="en-US" w:eastAsia="zh-CN"/>
            </w:rPr>
            <w:t>产品简介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_Toc2527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1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7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_Toc3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 w:cs="宋体"/>
              <w:b w:val="0"/>
              <w:sz w:val="15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测量原理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_Toc3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1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_Toc11851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第二章 技术参数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_Toc11851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3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_Toc31433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第三章 产品结构与尺寸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_Toc31433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4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_Toc13055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第四章 pH电极常见安装方式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_Toc13055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5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_Toc1597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 xml:space="preserve">第五章 </w:t>
          </w:r>
          <w:r>
            <w:rPr>
              <w:rFonts w:hint="eastAsia" w:cs="Times New Roman"/>
              <w:b w:val="0"/>
              <w:sz w:val="15"/>
              <w:lang w:val="en-US" w:eastAsia="zh-CN"/>
            </w:rPr>
            <w:t>电气连接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_Toc1597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6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_Toc14689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第六章 电极校准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_Toc14689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7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_Toc5405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/>
              <w:b w:val="0"/>
              <w:sz w:val="15"/>
              <w:lang w:val="en-US" w:eastAsia="zh-CN"/>
            </w:rPr>
            <w:t>第七章 电极使用与维护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_Toc5405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9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_Toc17810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sz w:val="15"/>
              <w:lang w:val="en-US" w:eastAsia="zh-CN"/>
            </w:rPr>
            <w:t>第八章 质保及售后服务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_Toc17810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11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pStyle w:val="16"/>
            <w:keepNext w:val="0"/>
            <w:keepLines w:val="0"/>
            <w:pageBreakBefore w:val="0"/>
            <w:tabs>
              <w:tab w:val="right" w:leader="dot" w:pos="3628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ascii="Times New Roman" w:hAnsi="Times New Roman"/>
              <w:b w:val="0"/>
              <w:sz w:val="15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 HYPERLINK \l _Toc28770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/>
              <w:b w:val="0"/>
              <w:sz w:val="15"/>
              <w:lang w:val="en-US" w:eastAsia="zh-CN"/>
            </w:rPr>
            <w:t>附录：pH值与mV的对应关系</w:t>
          </w:r>
          <w:r>
            <w:rPr>
              <w:rFonts w:ascii="Times New Roman" w:hAnsi="Times New Roman"/>
              <w:b w:val="0"/>
              <w:sz w:val="15"/>
            </w:rPr>
            <w:tab/>
          </w:r>
          <w:r>
            <w:rPr>
              <w:rFonts w:ascii="Times New Roman" w:hAnsi="Times New Roman"/>
              <w:b w:val="0"/>
              <w:sz w:val="15"/>
            </w:rPr>
            <w:fldChar w:fldCharType="begin"/>
          </w:r>
          <w:r>
            <w:rPr>
              <w:rFonts w:ascii="Times New Roman" w:hAnsi="Times New Roman"/>
              <w:b w:val="0"/>
              <w:sz w:val="15"/>
            </w:rPr>
            <w:instrText xml:space="preserve"> PAGEREF _Toc28770 \h </w:instrText>
          </w:r>
          <w:r>
            <w:rPr>
              <w:rFonts w:ascii="Times New Roman" w:hAnsi="Times New Roman"/>
              <w:b w:val="0"/>
              <w:sz w:val="15"/>
            </w:rPr>
            <w:fldChar w:fldCharType="separate"/>
          </w:r>
          <w:r>
            <w:rPr>
              <w:rFonts w:ascii="Times New Roman" w:hAnsi="Times New Roman"/>
              <w:b w:val="0"/>
              <w:sz w:val="15"/>
            </w:rPr>
            <w:t>12</w:t>
          </w:r>
          <w:r>
            <w:rPr>
              <w:rFonts w:ascii="Times New Roman" w:hAnsi="Times New Roman"/>
              <w:b w:val="0"/>
              <w:sz w:val="15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  <w:p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ind w:left="0" w:leftChars="0" w:firstLine="0" w:firstLineChars="0"/>
            <w:textAlignment w:val="auto"/>
            <w:rPr>
              <w:rFonts w:hint="eastAsia" w:ascii="Times New Roman" w:hAnsi="Times New Roman" w:eastAsia="宋体" w:cs="Times New Roman"/>
              <w:b/>
              <w:bC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end"/>
          </w:r>
        </w:p>
      </w:sdtContent>
    </w:sdt>
    <w:p>
      <w:pP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br w:type="page"/>
      </w:r>
    </w:p>
    <w:p>
      <w:pPr>
        <w:tabs>
          <w:tab w:val="center" w:pos="1814"/>
        </w:tabs>
        <w:ind w:left="0" w:leftChars="0" w:firstLine="0" w:firstLineChars="0"/>
        <w:jc w:val="left"/>
        <w:rPr>
          <w:rFonts w:hint="eastAsia" w:ascii="Times New Roman" w:hAnsi="Times New Roman" w:eastAsia="宋体" w:cs="Times New Roman"/>
          <w:lang w:val="en-US" w:eastAsia="zh-CN"/>
        </w:rPr>
        <w:sectPr>
          <w:footerReference r:id="rId7" w:type="default"/>
          <w:footerReference r:id="rId8" w:type="even"/>
          <w:pgSz w:w="4422" w:h="6236"/>
          <w:pgMar w:top="567" w:right="397" w:bottom="567" w:left="39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eastAsia"/>
          <w:lang w:val="en-US" w:eastAsia="zh-CN"/>
        </w:rPr>
      </w:pPr>
      <w:bookmarkStart w:id="12" w:name="_Toc4382"/>
      <w:bookmarkStart w:id="13" w:name="_Toc7188_WPSOffice_Level1"/>
      <w:bookmarkStart w:id="14" w:name="_Toc1644"/>
      <w:r>
        <w:rPr>
          <w:rFonts w:hint="eastAsia"/>
          <w:lang w:eastAsia="zh-CN"/>
        </w:rPr>
        <w:t>产品</w:t>
      </w:r>
      <w:bookmarkEnd w:id="12"/>
      <w:bookmarkEnd w:id="13"/>
      <w:r>
        <w:rPr>
          <w:rFonts w:hint="eastAsia"/>
          <w:lang w:val="en-US" w:eastAsia="zh-CN"/>
        </w:rPr>
        <w:t>概述</w:t>
      </w:r>
      <w:bookmarkEnd w:id="14"/>
    </w:p>
    <w:p>
      <w:pPr>
        <w:pStyle w:val="3"/>
        <w:bidi w:val="0"/>
        <w:ind w:left="575" w:leftChars="0" w:hanging="575" w:firstLineChars="0"/>
        <w:rPr>
          <w:rFonts w:hint="default"/>
          <w:lang w:val="en-US" w:eastAsia="zh-CN"/>
        </w:rPr>
      </w:pPr>
      <w:bookmarkStart w:id="15" w:name="_Toc2527"/>
      <w:r>
        <w:rPr>
          <w:rFonts w:hint="eastAsia"/>
          <w:lang w:val="en-US" w:eastAsia="zh-CN"/>
        </w:rPr>
        <w:t>产品简介</w:t>
      </w:r>
      <w:bookmarkEnd w:id="15"/>
    </w:p>
    <w:p>
      <w:pPr>
        <w:spacing w:line="280" w:lineRule="exact"/>
        <w:ind w:firstLine="300"/>
        <w:rPr>
          <w:rFonts w:hint="eastAsia" w:ascii="宋体" w:hAnsi="宋体" w:eastAsia="宋体" w:cs="宋体"/>
          <w:color w:val="231F20"/>
          <w:sz w:val="15"/>
          <w:szCs w:val="15"/>
          <w:lang w:val="en-US" w:eastAsia="zh-CN"/>
        </w:rPr>
      </w:pPr>
      <w:r>
        <w:rPr>
          <w:rFonts w:hint="eastAsia" w:ascii="宋体" w:hAnsi="宋体" w:cs="宋体"/>
          <w:color w:val="231F20"/>
          <w:szCs w:val="15"/>
        </w:rPr>
        <w:t>pH</w:t>
      </w:r>
      <w:r>
        <w:rPr>
          <w:rFonts w:hint="eastAsia" w:ascii="宋体" w:hAnsi="宋体" w:cs="宋体"/>
          <w:color w:val="231F20"/>
          <w:szCs w:val="15"/>
          <w:lang w:val="en-US" w:eastAsia="zh-CN"/>
        </w:rPr>
        <w:t>玻璃电极</w:t>
      </w:r>
      <w:r>
        <w:rPr>
          <w:rFonts w:hint="eastAsia" w:ascii="宋体" w:hAnsi="宋体" w:cs="宋体"/>
          <w:color w:val="231F20"/>
          <w:szCs w:val="15"/>
        </w:rPr>
        <w:t>是由玻璃指示电极和银/氯化银参比电极组合在一起的复合电极，作为pH值测量传感器广泛应用于测量水溶液中的pH值。</w:t>
      </w:r>
      <w:r>
        <w:rPr>
          <w:rFonts w:hint="eastAsia" w:ascii="宋体" w:hAnsi="宋体" w:cs="宋体"/>
          <w:color w:val="231F20"/>
          <w:sz w:val="15"/>
          <w:szCs w:val="15"/>
          <w:lang w:val="en-US" w:eastAsia="zh-CN"/>
        </w:rPr>
        <w:t>使用场景：自来水、地表水、综合废水等</w:t>
      </w:r>
      <w:r>
        <w:rPr>
          <w:rFonts w:hint="eastAsia" w:ascii="Times New Roman" w:hAnsi="Times New Roman"/>
          <w:lang w:eastAsia="zh-CN"/>
        </w:rPr>
        <w:t>。</w:t>
      </w:r>
    </w:p>
    <w:p>
      <w:pPr>
        <w:pStyle w:val="3"/>
        <w:bidi w:val="0"/>
        <w:ind w:left="575" w:leftChars="0" w:hanging="575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  <w:bookmarkStart w:id="16" w:name="_Toc3"/>
      <w:r>
        <w:rPr>
          <w:rFonts w:hint="eastAsia" w:ascii="Times New Roman" w:hAnsi="Times New Roman" w:cs="Times New Roman"/>
          <w:highlight w:val="none"/>
          <w:lang w:val="en-US" w:eastAsia="zh-CN"/>
        </w:rPr>
        <w:t>测量原理</w:t>
      </w:r>
      <w:bookmarkEnd w:id="16"/>
    </w:p>
    <w:p>
      <w:pPr>
        <w:spacing w:line="280" w:lineRule="exact"/>
        <w:ind w:firstLine="300"/>
        <w:rPr>
          <w:rFonts w:hint="eastAsia" w:ascii="Times New Roman" w:hAnsi="Times New Roman" w:cs="宋体"/>
          <w:color w:val="231F20"/>
          <w:sz w:val="15"/>
          <w:szCs w:val="15"/>
          <w:lang w:eastAsia="zh-CN"/>
        </w:rPr>
      </w:pPr>
      <w:bookmarkStart w:id="17" w:name="OLE_LINK2"/>
      <w:r>
        <w:rPr>
          <w:rFonts w:hint="eastAsia" w:ascii="Times New Roman" w:hAnsi="Times New Roman" w:cs="宋体"/>
          <w:color w:val="231F20"/>
          <w:sz w:val="15"/>
          <w:szCs w:val="15"/>
        </w:rPr>
        <w:t>pH电极是一种用于测量溶液酸碱度（pH值）的传感器，其核心原理基于‌</w:t>
      </w:r>
      <w:r>
        <w:rPr>
          <w:rFonts w:hint="default" w:ascii="Times New Roman" w:hAnsi="Times New Roman" w:cs="宋体"/>
          <w:color w:val="231F20"/>
          <w:sz w:val="15"/>
          <w:szCs w:val="15"/>
        </w:rPr>
        <w:t>电化学测量‌，通过检测溶液中氢离子（H⁺）的活度来间接反映pH值</w:t>
      </w:r>
      <w:r>
        <w:rPr>
          <w:rFonts w:hint="eastAsia" w:ascii="Times New Roman" w:hAnsi="Times New Roman" w:cs="宋体"/>
          <w:color w:val="231F20"/>
          <w:sz w:val="15"/>
          <w:szCs w:val="15"/>
          <w:lang w:eastAsia="zh-CN"/>
        </w:rPr>
        <w:t>。</w:t>
      </w:r>
    </w:p>
    <w:p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pH电极由‌</w:t>
      </w:r>
      <w:r>
        <w:rPr>
          <w:rFonts w:hint="eastAsia" w:ascii="Times New Roman" w:hAnsi="Times New Roman" w:cs="宋体"/>
          <w:color w:val="231F20"/>
          <w:sz w:val="15"/>
          <w:szCs w:val="15"/>
          <w:lang w:val="en-US" w:eastAsia="zh-CN"/>
        </w:rPr>
        <w:t>测量电极（玻璃电极）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‌和‌参比电极‌组成，二者通常集成在一个复合电极中。</w:t>
      </w:r>
      <w:r>
        <w:rPr>
          <w:rFonts w:hint="default" w:ascii="Times New Roman" w:hAnsi="Times New Roman" w:eastAsia="宋体" w:cs="宋体"/>
          <w:color w:val="231F20"/>
          <w:kern w:val="2"/>
          <w:sz w:val="15"/>
          <w:szCs w:val="15"/>
          <w:lang w:val="en-US" w:eastAsia="zh-CN" w:bidi="ar-SA"/>
        </w:rPr>
        <w:t>‌测量电极‌：头部为特殊玻璃膜（如锂玻璃），对H⁺具有选择性透过性。当玻璃膜浸入溶液时，膜表面会形成一层水化凝胶层，其中可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移动的H⁺与溶液中的H⁺交换，产生电位差。‌参比电极‌：提供稳定的电位基准，通常采用Ag/AgCl参比系统，内部填充氯化钾（KCl）饱和溶液，并通过多孔陶瓷塞与被测溶液隔离，确保电位不受溶液成分影响。</w:t>
      </w:r>
    </w:p>
    <w:p>
      <w:pPr>
        <w:spacing w:line="280" w:lineRule="exact"/>
        <w:ind w:firstLine="300"/>
        <w:rPr>
          <w:rFonts w:hint="eastAsia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根据能斯特方程，电极的电位（E）与溶液中H⁺活度（a_H⁺）的关系为</w:t>
      </w:r>
      <w:r>
        <w:rPr>
          <w:rFonts w:hint="eastAsia" w:cs="宋体"/>
          <w:color w:val="231F20"/>
          <w:sz w:val="15"/>
          <w:szCs w:val="15"/>
          <w:lang w:val="en-US" w:eastAsia="zh-CN"/>
        </w:rPr>
        <w:t>：</w:t>
      </w:r>
    </w:p>
    <w:p>
      <w:pPr>
        <w:spacing w:line="280" w:lineRule="exact"/>
        <w:ind w:left="300" w:leftChars="200" w:firstLine="0" w:firstLineChars="0"/>
        <w:rPr>
          <w:rFonts w:hint="eastAsia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‌E = E₀ + (2.303RT/F) × log(a_H⁺)‌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br w:type="textWrapping"/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其中</w:t>
      </w:r>
      <w:r>
        <w:rPr>
          <w:rFonts w:hint="eastAsia" w:cs="宋体"/>
          <w:color w:val="231F20"/>
          <w:sz w:val="15"/>
          <w:szCs w:val="15"/>
          <w:lang w:val="en-US" w:eastAsia="zh-CN"/>
        </w:rPr>
        <w:t>：</w:t>
      </w:r>
    </w:p>
    <w:p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E₀为常数</w:t>
      </w:r>
    </w:p>
    <w:p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R为气体常数</w:t>
      </w:r>
    </w:p>
    <w:p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T为温度（K）</w:t>
      </w:r>
    </w:p>
    <w:p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F为法拉第常数</w:t>
      </w:r>
    </w:p>
    <w:p>
      <w:pPr>
        <w:spacing w:line="280" w:lineRule="exact"/>
        <w:ind w:firstLine="300"/>
        <w:rPr>
          <w:rFonts w:hint="eastAsia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由于pH定义为pH = -log(a_H⁺)，电位差与pH值呈线性关系</w:t>
      </w:r>
      <w:r>
        <w:rPr>
          <w:rFonts w:hint="eastAsia" w:cs="宋体"/>
          <w:color w:val="231F20"/>
          <w:sz w:val="15"/>
          <w:szCs w:val="15"/>
          <w:lang w:val="en-US" w:eastAsia="zh-CN"/>
        </w:rPr>
        <w:t>，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通过测量两电极间的电位差，即可换算出溶液的pH值。</w:t>
      </w:r>
    </w:p>
    <w:bookmarkEnd w:id="17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Times New Roman"/>
          <w:lang w:val="en-US" w:eastAsia="zh-CN"/>
        </w:rPr>
        <w:sectPr>
          <w:headerReference r:id="rId9" w:type="default"/>
          <w:footerReference r:id="rId11" w:type="default"/>
          <w:headerReference r:id="rId10" w:type="even"/>
          <w:footerReference r:id="rId12" w:type="even"/>
          <w:type w:val="continuous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type="lines" w:linePitch="312" w:charSpace="0"/>
        </w:sectPr>
      </w:pPr>
      <w:bookmarkStart w:id="18" w:name="_Toc25798_WPSOffice_Level2"/>
    </w:p>
    <w:bookmarkEnd w:id="18"/>
    <w:p>
      <w:pPr>
        <w:rPr>
          <w:rFonts w:hint="eastAsia" w:ascii="Times New Roman" w:hAnsi="Times New Roman" w:cs="Times New Roman"/>
          <w:lang w:val="en-US" w:eastAsia="zh-CN"/>
        </w:rPr>
      </w:pPr>
      <w:bookmarkStart w:id="19" w:name="_Toc11851"/>
      <w:r>
        <w:rPr>
          <w:rFonts w:hint="eastAsia" w:ascii="Times New Roman" w:hAnsi="Times New Roman" w:cs="Times New Roman"/>
          <w:lang w:val="en-US" w:eastAsia="zh-CN"/>
        </w:rPr>
        <w:br w:type="page"/>
      </w:r>
    </w:p>
    <w:p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技术参数</w:t>
      </w:r>
      <w:bookmarkEnd w:id="19"/>
    </w:p>
    <w:p>
      <w:pPr>
        <w:pStyle w:val="2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技术参数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测量变量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pH值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测量范围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 xml:space="preserve">（0~14）pH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准确度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highlight w:val="none"/>
                <w:lang w:val="en-US" w:eastAsia="zh-CN"/>
              </w:rPr>
              <w:t>0.1</w:t>
            </w:r>
            <w:r>
              <w:rPr>
                <w:rFonts w:hint="eastAsia" w:ascii="Times New Roman" w:hAnsi="Times New Roman"/>
                <w:highlight w:val="none"/>
              </w:rPr>
              <w:t xml:space="preserve">pH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零电位pH值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（7土0.</w:t>
            </w:r>
            <w:r>
              <w:rPr>
                <w:rFonts w:hint="eastAsia" w:ascii="Times New Roman" w:hAnsi="Times New Roman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</w:rPr>
              <w:t>）pH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温度范围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/>
              </w:rPr>
              <w:t>（0~</w:t>
            </w:r>
            <w:r>
              <w:rPr>
                <w:rFonts w:hint="eastAsia" w:ascii="Times New Roman" w:hAnsi="Times New Roman"/>
                <w:lang w:val="en-US" w:eastAsia="zh-CN"/>
              </w:rPr>
              <w:t>90</w:t>
            </w:r>
            <w:r>
              <w:rPr>
                <w:rFonts w:hint="eastAsia" w:ascii="Times New Roman" w:hAnsi="Times New Roman"/>
              </w:rPr>
              <w:t>）℃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bookmarkStart w:id="20" w:name="OLE_LINK1" w:colFirst="0" w:colLast="1"/>
            <w:r>
              <w:rPr>
                <w:rFonts w:hint="eastAsia"/>
                <w:highlight w:val="none"/>
                <w:lang w:val="en-US" w:eastAsia="zh-CN"/>
              </w:rPr>
              <w:t>温度准确度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/>
                <w:highlight w:val="none"/>
              </w:rPr>
            </w:pPr>
            <w:r>
              <w:rPr>
                <w:rFonts w:hint="eastAsia" w:ascii="Times New Roman" w:hAnsi="Times New Roman"/>
                <w:highlight w:val="none"/>
              </w:rPr>
              <w:t>0.5℃</w:t>
            </w:r>
          </w:p>
        </w:tc>
      </w:tr>
      <w:bookmarkEnd w:id="2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温度传感器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Pt1000 / Pt100 / NTC 2.252K /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NTC 10K / NTC 22K / NTC 30K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最大压力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0.3</w:t>
            </w:r>
            <w:bookmarkStart w:id="46" w:name="_GoBack"/>
            <w:bookmarkEnd w:id="46"/>
            <w:r>
              <w:rPr>
                <w:rFonts w:hint="eastAsia"/>
                <w:lang w:val="en-US" w:eastAsia="zh-CN"/>
              </w:rPr>
              <w:t>MPa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膜阻抗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eastAsia="宋体" w:cstheme="minorBidi"/>
                <w:kern w:val="2"/>
                <w:sz w:val="15"/>
                <w:szCs w:val="24"/>
                <w:lang w:val="en-US" w:eastAsia="zh-CN" w:bidi="ar-SA"/>
              </w:rPr>
              <w:t>＜350MΩ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参比系统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Ag/AgClKCl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电解质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液态凝胶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液接界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点状砂芯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电极杆材质</w:t>
            </w:r>
          </w:p>
        </w:tc>
        <w:tc>
          <w:tcPr>
            <w:tcW w:w="27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玻璃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outlineLvl w:val="9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sectPr>
          <w:headerReference r:id="rId13" w:type="default"/>
          <w:footerReference r:id="rId15" w:type="default"/>
          <w:headerReference r:id="rId14" w:type="even"/>
          <w:footerReference r:id="rId16" w:type="even"/>
          <w:type w:val="continuous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default" w:ascii="Times New Roman" w:hAnsi="Times New Roman" w:cs="Times New Roman"/>
          <w:lang w:val="en-US" w:eastAsia="zh-CN"/>
        </w:rPr>
      </w:pPr>
      <w:bookmarkStart w:id="21" w:name="_Toc31433"/>
      <w:r>
        <w:rPr>
          <w:rFonts w:hint="eastAsia" w:ascii="Times New Roman" w:hAnsi="Times New Roman" w:cs="Times New Roman"/>
          <w:lang w:val="en-US" w:eastAsia="zh-CN"/>
        </w:rPr>
        <w:t>产品结构与尺寸</w:t>
      </w:r>
      <w:bookmarkEnd w:id="21"/>
    </w:p>
    <w:p>
      <w:pPr>
        <w:pStyle w:val="13"/>
        <w:spacing w:line="240" w:lineRule="auto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ascii="Calibri" w:hAnsi="Calibri" w:cs="Times New Roman"/>
          <w:sz w:val="20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624840</wp:posOffset>
            </wp:positionH>
            <wp:positionV relativeFrom="paragraph">
              <wp:posOffset>149860</wp:posOffset>
            </wp:positionV>
            <wp:extent cx="274955" cy="1809115"/>
            <wp:effectExtent l="0" t="0" r="10795" b="635"/>
            <wp:wrapNone/>
            <wp:docPr id="2" name="图片 2" descr="更正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更正图片"/>
                    <pic:cNvPicPr>
                      <a:picLocks noChangeAspect="1"/>
                    </pic:cNvPicPr>
                  </pic:nvPicPr>
                  <pic:blipFill>
                    <a:blip r:embed="rId37"/>
                    <a:srcRect r="47669"/>
                    <a:stretch>
                      <a:fillRect/>
                    </a:stretch>
                  </pic:blipFill>
                  <pic:spPr>
                    <a:xfrm>
                      <a:off x="0" y="0"/>
                      <a:ext cx="274955" cy="180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Calibri" w:hAnsi="Calibri" w:cs="Times New Roman"/>
          <w:sz w:val="20"/>
          <w:lang w:val="en-US" w:eastAsia="zh-CN"/>
        </w:rPr>
        <w:t xml:space="preserve">        </w:t>
      </w:r>
      <w:r>
        <w:rPr>
          <w:rFonts w:ascii="Calibri" w:hAnsi="Calibri" w:cs="Times New Roman"/>
          <w:sz w:val="20"/>
        </w:rPr>
        <w:drawing>
          <wp:inline distT="0" distB="0" distL="114300" distR="114300">
            <wp:extent cx="817245" cy="2063115"/>
            <wp:effectExtent l="0" t="0" r="1905" b="13335"/>
            <wp:docPr id="10" name="图片 10" descr="371774FE-9933-4c7d-9BD9-184CBCDB26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71774FE-9933-4c7d-9BD9-184CBCDB26C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5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产品外形尺寸</w:t>
      </w:r>
    </w:p>
    <w:p>
      <w:pPr>
        <w:pStyle w:val="13"/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/>
          <w:lang w:val="en-US" w:eastAsia="zh-CN"/>
        </w:rPr>
        <w:sectPr>
          <w:headerReference r:id="rId17" w:type="default"/>
          <w:headerReference r:id="rId18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bookmarkStart w:id="22" w:name="_Toc13055"/>
      <w:r>
        <w:rPr>
          <w:rFonts w:hint="eastAsia" w:cs="Times New Roman"/>
          <w:lang w:val="en-US" w:eastAsia="zh-CN"/>
        </w:rPr>
        <w:t>pH电极常见</w:t>
      </w:r>
      <w:r>
        <w:rPr>
          <w:rFonts w:hint="eastAsia" w:ascii="Times New Roman" w:hAnsi="Times New Roman" w:cs="Times New Roman"/>
          <w:lang w:val="en-US" w:eastAsia="zh-CN"/>
        </w:rPr>
        <w:t>安装</w:t>
      </w:r>
      <w:r>
        <w:rPr>
          <w:rFonts w:hint="eastAsia" w:cs="Times New Roman"/>
          <w:lang w:val="en-US" w:eastAsia="zh-CN"/>
        </w:rPr>
        <w:t>方式</w:t>
      </w:r>
      <w:bookmarkEnd w:id="22"/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drawing>
          <wp:inline distT="0" distB="0" distL="114300" distR="114300">
            <wp:extent cx="2409190" cy="1260475"/>
            <wp:effectExtent l="0" t="0" r="10160" b="1587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rcRect l="29790" t="10170" r="16782" b="19514"/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5"/>
        <w:bidi w:val="0"/>
        <w:ind w:left="0" w:leftChars="0" w:firstLine="0" w:firstLineChars="0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电极常见安装方式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</w:p>
    <w:p>
      <w:pPr>
        <w:ind w:left="0" w:leftChars="0" w:firstLine="0" w:firstLineChars="0"/>
        <w:rPr>
          <w:rFonts w:hint="eastAsia"/>
          <w:lang w:val="en-US" w:eastAsia="zh-CN"/>
        </w:rPr>
        <w:sectPr>
          <w:headerReference r:id="rId19" w:type="default"/>
          <w:headerReference r:id="rId20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bookmarkStart w:id="23" w:name="_Toc1597"/>
      <w:r>
        <w:rPr>
          <w:rFonts w:hint="eastAsia" w:cs="Times New Roman"/>
          <w:lang w:val="en-US" w:eastAsia="zh-CN"/>
        </w:rPr>
        <w:t>电气连接</w:t>
      </w:r>
      <w:bookmarkEnd w:id="23"/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电极通过线缆连接控制器，接线图参见使用控制器的产品说明书。电极线缆见下图：</w:t>
      </w:r>
    </w:p>
    <w:p>
      <w:pPr>
        <w:spacing w:line="240" w:lineRule="auto"/>
        <w:ind w:left="0" w:leftChars="0" w:firstLine="0" w:firstLineChars="0"/>
        <w:jc w:val="center"/>
      </w:pPr>
      <w:r>
        <w:object>
          <v:shape id="_x0000_i1025" o:spt="75" type="#_x0000_t75" style="height:27pt;width:104.35pt;" o:ole="t" filled="f" o:preferrelative="t" stroked="f" coordsize="21600,21600">
            <v:path/>
            <v:fill on="f" focussize="0,0"/>
            <v:stroke on="f"/>
            <v:imagedata r:id="rId43" grayscale="t" bilevel="t" o:title=""/>
            <o:lock v:ext="edit" aspectratio="t"/>
            <w10:wrap type="none"/>
            <w10:anchorlock/>
          </v:shape>
          <o:OLEObject Type="Embed" ProgID="CorelDraw.Graphic.19" ShapeID="_x0000_i1025" DrawAspect="Content" ObjectID="_1468075727" r:id="rId42">
            <o:LockedField>false</o:LockedField>
          </o:OLEObject>
        </w:object>
      </w:r>
    </w:p>
    <w:p>
      <w:pPr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图4 无温补电极线缆</w:t>
      </w:r>
    </w:p>
    <w:p>
      <w:pPr>
        <w:spacing w:line="240" w:lineRule="auto"/>
        <w:jc w:val="center"/>
        <w:rPr>
          <w:rFonts w:hint="eastAsia"/>
          <w:lang w:val="en-US" w:eastAsia="zh-CN"/>
        </w:rPr>
      </w:pPr>
      <w:r>
        <w:object>
          <v:shape id="_x0000_i1026" o:spt="75" type="#_x0000_t75" style="height:36.9pt;width:121.75pt;" o:ole="t" filled="f" o:preferrelative="t" stroked="f" coordsize="21600,21600">
            <v:path/>
            <v:fill on="f" focussize="0,0"/>
            <v:stroke on="f"/>
            <v:imagedata r:id="rId45" grayscale="t" o:title=""/>
            <o:lock v:ext="edit" aspectratio="t"/>
            <w10:wrap type="none"/>
            <w10:anchorlock/>
          </v:shape>
          <o:OLEObject Type="Embed" ProgID="CorelDraw.Graphic.19" ShapeID="_x0000_i1026" DrawAspect="Content" ObjectID="_1468075728" r:id="rId44">
            <o:LockedField>false</o:LockedField>
          </o:OLEObject>
        </w:object>
      </w:r>
    </w:p>
    <w:p>
      <w:pPr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图5 带温补电极线缆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电极接线标识：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25" w:leftChars="200" w:hanging="225" w:hangingChars="15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INPUT：测量接口。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25" w:leftChars="200" w:hanging="225" w:hangingChars="150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REF：参比接口。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25" w:leftChars="200" w:hanging="225" w:hangingChars="15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T</w:t>
      </w:r>
      <w:r>
        <w:rPr>
          <w:rFonts w:hint="eastAsia"/>
          <w:lang w:val="en-US" w:eastAsia="zh-CN"/>
        </w:rPr>
        <w:t>emp+/PT+</w:t>
      </w:r>
      <w:r>
        <w:rPr>
          <w:rFonts w:hint="eastAsia" w:ascii="Times New Roman" w:hAnsi="Times New Roman"/>
          <w:lang w:val="en-US" w:eastAsia="zh-CN"/>
        </w:rPr>
        <w:t>、T</w:t>
      </w:r>
      <w:r>
        <w:rPr>
          <w:rFonts w:hint="eastAsia"/>
          <w:lang w:val="en-US" w:eastAsia="zh-CN"/>
        </w:rPr>
        <w:t>emp-/PT-</w:t>
      </w:r>
      <w:r>
        <w:rPr>
          <w:rFonts w:hint="eastAsia" w:ascii="Times New Roman" w:hAnsi="Times New Roman"/>
          <w:lang w:val="en-US" w:eastAsia="zh-CN"/>
        </w:rPr>
        <w:t>：</w:t>
      </w:r>
      <w:r>
        <w:rPr>
          <w:rFonts w:hint="eastAsia"/>
          <w:lang w:val="en-US" w:eastAsia="zh-CN"/>
        </w:rPr>
        <w:t>温度</w:t>
      </w:r>
      <w:r>
        <w:rPr>
          <w:rFonts w:hint="eastAsia" w:ascii="Times New Roman" w:hAnsi="Times New Roman"/>
          <w:lang w:val="en-US" w:eastAsia="zh-CN"/>
        </w:rPr>
        <w:t>输出</w:t>
      </w:r>
      <w:r>
        <w:rPr>
          <w:rFonts w:hint="eastAsia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300" w:leftChars="200" w:firstLine="0" w:firstLineChars="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300" w:leftChars="200" w:firstLine="0" w:firstLineChars="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300" w:leftChars="200" w:firstLine="0" w:firstLineChars="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</w:p>
    <w:p>
      <w:pPr>
        <w:ind w:firstLine="0" w:firstLineChars="0"/>
        <w:rPr>
          <w:rFonts w:hint="eastAsia" w:ascii="Times New Roman" w:hAnsi="Times New Roman" w:eastAsia="宋体" w:cs="Times New Roman"/>
          <w:lang w:eastAsia="zh-CN"/>
        </w:rPr>
        <w:sectPr>
          <w:headerReference r:id="rId21" w:type="default"/>
          <w:footerReference r:id="rId23" w:type="default"/>
          <w:headerReference r:id="rId22" w:type="even"/>
          <w:footerReference r:id="rId24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default" w:ascii="Times New Roman" w:hAnsi="Times New Roman" w:cs="Times New Roman"/>
          <w:lang w:val="en-US" w:eastAsia="zh-CN"/>
        </w:rPr>
      </w:pPr>
      <w:bookmarkStart w:id="24" w:name="_Toc14689"/>
      <w:r>
        <w:rPr>
          <w:rFonts w:hint="eastAsia" w:cs="Times New Roman"/>
          <w:lang w:val="en-US" w:eastAsia="zh-CN"/>
        </w:rPr>
        <w:t>电极校准</w:t>
      </w:r>
      <w:bookmarkEnd w:id="24"/>
    </w:p>
    <w:p>
      <w:pPr>
        <w:bidi w:val="0"/>
      </w:pPr>
      <w:r>
        <w:rPr>
          <w:rFonts w:hint="eastAsia"/>
        </w:rPr>
        <w:t>电极与pH计的配套校正及测试：</w:t>
      </w:r>
    </w:p>
    <w:p>
      <w:pPr>
        <w:bidi w:val="0"/>
      </w:pPr>
      <w:bookmarkStart w:id="25" w:name="OLE_LINK3"/>
      <w:r>
        <w:rPr>
          <w:rFonts w:hint="eastAsia"/>
        </w:rPr>
        <w:t>(1) 将pH电极接线端</w:t>
      </w:r>
      <w:r>
        <w:rPr>
          <w:rFonts w:hint="eastAsia"/>
          <w:lang w:eastAsia="zh-CN"/>
        </w:rPr>
        <w:t>标识</w:t>
      </w:r>
      <w:r>
        <w:rPr>
          <w:rFonts w:hint="eastAsia"/>
        </w:rPr>
        <w:t>依次连接到工业pH表接线端，确认连接正确。</w:t>
      </w:r>
    </w:p>
    <w:p>
      <w:pPr>
        <w:bidi w:val="0"/>
      </w:pPr>
      <w:r>
        <w:rPr>
          <w:rFonts w:hint="eastAsia"/>
        </w:rPr>
        <w:t>(2) 将电极放入装有pH6.86或pH7.00的缓冲溶液烧杯中，经搅拌，当读数稳定时调节pH计零点，使其在实验室温度（25℃）下读数为6.86pH或7.00pH（请参见pH仪器使用说明书中的如何调节零点）。</w:t>
      </w:r>
    </w:p>
    <w:p>
      <w:pPr>
        <w:bidi w:val="0"/>
      </w:pPr>
      <w:r>
        <w:rPr>
          <w:rFonts w:hint="eastAsia"/>
        </w:rPr>
        <w:t>(3)将电极从pH6.86或pH7.00的缓冲溶液中取出，用去离子水清洗电极头部，吸干残留去离子水后再将电极放入装有pH4.01的缓冲溶液浇杯中，经搅拌，待读数稳定时调节pH仪器斜率，使其在实验室温度（25℃）下读数为4.01（请参见pH仪器使用说明书）。</w:t>
      </w:r>
    </w:p>
    <w:p>
      <w:pPr>
        <w:bidi w:val="0"/>
      </w:pPr>
      <w:r>
        <w:rPr>
          <w:rFonts w:hint="eastAsia"/>
        </w:rPr>
        <w:t>(4)将电极从pH4.01的缓冲溶液中取出，用去离子水清洗电极头部，吸干残留去离子水，然后可装入在线装置对被测溶液进行pH值在线测试。</w:t>
      </w:r>
    </w:p>
    <w:bookmarkEnd w:id="25"/>
    <w:p>
      <w:pPr>
        <w:bidi w:val="0"/>
      </w:pPr>
      <w:r>
        <w:rPr>
          <w:rFonts w:hint="eastAsia"/>
        </w:rPr>
        <w:t>(5)我司出厂的在线电极具有防水功能，在电极的上端有PG</w:t>
      </w:r>
      <w:r>
        <w:t>13.5</w:t>
      </w:r>
      <w:r>
        <w:rPr>
          <w:rFonts w:hint="eastAsia"/>
        </w:rPr>
        <w:t>的管道</w:t>
      </w:r>
      <w:r>
        <w:rPr>
          <w:rFonts w:hint="eastAsia"/>
          <w:lang w:eastAsia="zh-CN"/>
        </w:rPr>
        <w:t>螺纹</w:t>
      </w:r>
      <w:r>
        <w:rPr>
          <w:rFonts w:hint="eastAsia"/>
        </w:rPr>
        <w:t>，如用于管道中测试，可装上三通旋于管道装置中进行在线测试。如用于浸入式测试，则可根据测试深度接一根一头带有PG</w:t>
      </w:r>
      <w:r>
        <w:t>13.5</w:t>
      </w:r>
      <w:r>
        <w:rPr>
          <w:rFonts w:hint="eastAsia"/>
        </w:rPr>
        <w:t>的管道</w:t>
      </w:r>
      <w:r>
        <w:rPr>
          <w:rFonts w:hint="eastAsia"/>
          <w:lang w:eastAsia="zh-CN"/>
        </w:rPr>
        <w:t>螺纹</w:t>
      </w:r>
      <w:r>
        <w:rPr>
          <w:rFonts w:hint="eastAsia"/>
        </w:rPr>
        <w:t>的管子浸入水中测试。</w:t>
      </w:r>
    </w:p>
    <w:p>
      <w:pPr>
        <w:pStyle w:val="13"/>
        <w:rPr>
          <w:rFonts w:hint="default"/>
          <w:lang w:val="en-US" w:eastAsia="zh-CN"/>
        </w:rPr>
        <w:sectPr>
          <w:headerReference r:id="rId25" w:type="default"/>
          <w:headerReference r:id="rId26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13"/>
        <w:rPr>
          <w:rFonts w:hint="default"/>
          <w:lang w:val="en-US" w:eastAsia="zh-CN"/>
        </w:rPr>
      </w:pPr>
    </w:p>
    <w:p>
      <w:pPr>
        <w:pStyle w:val="2"/>
        <w:bidi w:val="0"/>
        <w:rPr>
          <w:rFonts w:hint="default"/>
          <w:lang w:val="en-US" w:eastAsia="zh-CN"/>
        </w:rPr>
      </w:pPr>
      <w:bookmarkStart w:id="26" w:name="_Toc5405"/>
      <w:r>
        <w:rPr>
          <w:rFonts w:hint="eastAsia"/>
          <w:lang w:val="en-US" w:eastAsia="zh-CN"/>
        </w:rPr>
        <w:t>电极使用与维护</w:t>
      </w:r>
      <w:bookmarkEnd w:id="26"/>
    </w:p>
    <w:p>
      <w:pPr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</w:rPr>
        <w:t>1）电极如果在较长一段时间内不使用，应将其用去离子水清洗干净，吸干残留去离子水后放回浸泡帽内存放。</w:t>
      </w:r>
    </w:p>
    <w:p>
      <w:pPr>
        <w:bidi w:val="0"/>
      </w:pPr>
      <w:r>
        <w:rPr>
          <w:rFonts w:hint="eastAsia"/>
        </w:rPr>
        <w:t>（2）电极经长期使用后，电极的斜率和响应速度可能会有所降低，此时可将电极的敏感球泡</w:t>
      </w:r>
      <w:r>
        <w:rPr>
          <w:rFonts w:hint="eastAsia"/>
          <w:lang w:eastAsia="zh-CN"/>
        </w:rPr>
        <w:t>部分</w:t>
      </w:r>
      <w:r>
        <w:rPr>
          <w:rFonts w:hint="eastAsia"/>
        </w:rPr>
        <w:t>浸在4%HF中3～5秒或稀HC</w:t>
      </w:r>
      <w:r>
        <w:rPr>
          <w:rFonts w:hint="eastAsia"/>
          <w:lang w:val="en-US" w:eastAsia="zh-CN"/>
        </w:rPr>
        <w:t>l</w:t>
      </w:r>
      <w:r>
        <w:rPr>
          <w:rFonts w:hint="eastAsia"/>
        </w:rPr>
        <w:t>溶液中1～2分钟，立即用去离子水清洗之后浸在浸泡液中1～2天使之复新，待电极恢复零点后与工业pH表配套校正即可正常恢复使用。</w:t>
      </w:r>
    </w:p>
    <w:p>
      <w:pPr>
        <w:bidi w:val="0"/>
        <w:rPr>
          <w:rFonts w:hint="eastAsia"/>
        </w:rPr>
      </w:pPr>
      <w:r>
        <w:rPr>
          <w:rFonts w:hint="eastAsia"/>
        </w:rPr>
        <w:t>（3）被测溶液中如含有易污染敏感球泡或堵塞盐桥的物质而使电极钝化，现象是响应速度明显变慢、斜率降低或读数不稳定，如此，则应根据污染物的性质选用适当的溶剂清洗，使之复新。污染物和适当的清洗剂</w:t>
      </w:r>
      <w:r>
        <w:rPr>
          <w:rFonts w:hint="eastAsia"/>
          <w:lang w:eastAsia="zh-CN"/>
        </w:rPr>
        <w:t>请</w:t>
      </w:r>
      <w:r>
        <w:rPr>
          <w:rFonts w:hint="eastAsia"/>
        </w:rPr>
        <w:t>看下表供参考。</w:t>
      </w: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6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清洗剂参考表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21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599" w:type="dxa"/>
            <w:shd w:val="clear" w:color="auto" w:fill="D7D7D7"/>
            <w:vAlign w:val="center"/>
          </w:tcPr>
          <w:p>
            <w:pPr>
              <w:pStyle w:val="29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27" w:name="_Toc3739"/>
            <w:bookmarkStart w:id="28" w:name="_Toc16796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污染物</w:t>
            </w:r>
            <w:bookmarkEnd w:id="27"/>
            <w:bookmarkEnd w:id="28"/>
          </w:p>
        </w:tc>
        <w:tc>
          <w:tcPr>
            <w:tcW w:w="2113" w:type="dxa"/>
            <w:shd w:val="clear" w:color="auto" w:fill="D7D7D7"/>
            <w:vAlign w:val="center"/>
          </w:tcPr>
          <w:p>
            <w:pPr>
              <w:pStyle w:val="29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29" w:name="_Toc23423"/>
            <w:bookmarkStart w:id="30" w:name="_Toc8527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清洁剂</w:t>
            </w:r>
            <w:bookmarkEnd w:id="29"/>
            <w:bookmarkEnd w:id="3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>
            <w:pPr>
              <w:pStyle w:val="29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1" w:name="_Toc9565"/>
            <w:bookmarkStart w:id="32" w:name="_Toc27244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无机金属氧化物</w:t>
            </w:r>
            <w:bookmarkEnd w:id="31"/>
            <w:bookmarkEnd w:id="32"/>
          </w:p>
        </w:tc>
        <w:tc>
          <w:tcPr>
            <w:tcW w:w="2113" w:type="dxa"/>
            <w:vAlign w:val="center"/>
          </w:tcPr>
          <w:p>
            <w:pPr>
              <w:tabs>
                <w:tab w:val="center" w:pos="4153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低于1M稀盐酸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>
            <w:pPr>
              <w:pStyle w:val="29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3" w:name="_Toc26414"/>
            <w:bookmarkStart w:id="34" w:name="_Toc14279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有机油脂类物</w:t>
            </w:r>
            <w:bookmarkEnd w:id="33"/>
            <w:bookmarkEnd w:id="34"/>
          </w:p>
        </w:tc>
        <w:tc>
          <w:tcPr>
            <w:tcW w:w="2113" w:type="dxa"/>
            <w:vAlign w:val="center"/>
          </w:tcPr>
          <w:p>
            <w:pPr>
              <w:tabs>
                <w:tab w:val="left" w:pos="5025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稀洗涤剂（弱碱性）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>
            <w:pPr>
              <w:pStyle w:val="29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5" w:name="_Toc4225"/>
            <w:bookmarkStart w:id="36" w:name="_Toc20860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树脂高分子物质</w:t>
            </w:r>
            <w:bookmarkEnd w:id="35"/>
            <w:bookmarkEnd w:id="36"/>
          </w:p>
        </w:tc>
        <w:tc>
          <w:tcPr>
            <w:tcW w:w="2113" w:type="dxa"/>
            <w:vAlign w:val="center"/>
          </w:tcPr>
          <w:p>
            <w:pPr>
              <w:pStyle w:val="29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7" w:name="_Toc30309"/>
            <w:bookmarkStart w:id="38" w:name="_Toc30274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稀酒精，丙酮，乙醚</w:t>
            </w:r>
            <w:bookmarkEnd w:id="37"/>
            <w:bookmarkEnd w:id="3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>
            <w:pPr>
              <w:pStyle w:val="29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9" w:name="_Toc7474"/>
            <w:bookmarkStart w:id="40" w:name="_Toc17425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蛋白质血球沉淀物</w:t>
            </w:r>
            <w:bookmarkEnd w:id="39"/>
            <w:bookmarkEnd w:id="40"/>
          </w:p>
        </w:tc>
        <w:tc>
          <w:tcPr>
            <w:tcW w:w="2113" w:type="dxa"/>
            <w:vAlign w:val="center"/>
          </w:tcPr>
          <w:p>
            <w:pPr>
              <w:tabs>
                <w:tab w:val="left" w:pos="1215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5025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酸性酶溶液（如胃蛋白酶等）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>
            <w:pPr>
              <w:pStyle w:val="29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41" w:name="_Toc12467"/>
            <w:bookmarkStart w:id="42" w:name="_Toc25937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颜料类物质</w:t>
            </w:r>
            <w:bookmarkEnd w:id="41"/>
            <w:bookmarkEnd w:id="42"/>
          </w:p>
        </w:tc>
        <w:tc>
          <w:tcPr>
            <w:tcW w:w="2113" w:type="dxa"/>
            <w:vAlign w:val="center"/>
          </w:tcPr>
          <w:p>
            <w:pPr>
              <w:tabs>
                <w:tab w:val="left" w:pos="1215"/>
                <w:tab w:val="left" w:pos="1260"/>
                <w:tab w:val="left" w:pos="1680"/>
                <w:tab w:val="left" w:pos="2100"/>
                <w:tab w:val="left" w:pos="5025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稀释漂白液，过氧化氢</w:t>
            </w:r>
          </w:p>
        </w:tc>
      </w:tr>
    </w:tbl>
    <w:p>
      <w:pPr>
        <w:pStyle w:val="13"/>
        <w:ind w:firstLine="300"/>
        <w:rPr>
          <w:rFonts w:ascii="宋体" w:hAnsi="宋体" w:cs="宋体"/>
          <w:color w:val="231F20"/>
          <w:sz w:val="15"/>
          <w:szCs w:val="15"/>
        </w:rPr>
      </w:pPr>
    </w:p>
    <w:p>
      <w:pPr>
        <w:ind w:firstLine="0" w:firstLineChars="0"/>
        <w:rPr>
          <w:rFonts w:hint="eastAsia" w:ascii="Times New Roman" w:hAnsi="Times New Roman" w:eastAsia="宋体" w:cs="Times New Roman"/>
          <w:lang w:eastAsia="zh-CN"/>
        </w:rPr>
      </w:pPr>
    </w:p>
    <w:p>
      <w:pPr>
        <w:ind w:firstLine="0" w:firstLineChars="0"/>
        <w:rPr>
          <w:rFonts w:hint="eastAsia" w:ascii="Times New Roman" w:hAnsi="Times New Roman" w:eastAsia="宋体" w:cs="Times New Roman"/>
          <w:lang w:eastAsia="zh-CN"/>
        </w:rPr>
        <w:sectPr>
          <w:headerReference r:id="rId27" w:type="default"/>
          <w:headerReference r:id="rId28" w:type="even"/>
          <w:type w:val="continuous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bookmarkStart w:id="43" w:name="_Toc17810"/>
      <w:r>
        <w:rPr>
          <w:rFonts w:hint="eastAsia" w:ascii="Times New Roman" w:hAnsi="Times New Roman" w:cs="Times New Roman"/>
          <w:lang w:val="en-US" w:eastAsia="zh-CN"/>
        </w:rPr>
        <w:t>质保及售后服务</w:t>
      </w:r>
      <w:bookmarkEnd w:id="43"/>
    </w:p>
    <w:p>
      <w:pPr>
        <w:pStyle w:val="24"/>
        <w:ind w:firstLine="300" w:firstLine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>
      <w:pPr>
        <w:pStyle w:val="24"/>
        <w:ind w:firstLine="300" w:firstLineChars="200"/>
        <w:rPr>
          <w:rFonts w:hint="eastAsia" w:ascii="Times New Roman" w:hAnsi="Times New Roman" w:cs="Times New Roman"/>
          <w:lang w:val="zh-CN"/>
        </w:rPr>
      </w:pPr>
    </w:p>
    <w:p>
      <w:pPr>
        <w:pStyle w:val="24"/>
        <w:ind w:firstLine="300" w:firstLineChars="200"/>
        <w:rPr>
          <w:rFonts w:hint="eastAsia" w:ascii="Times New Roman" w:hAnsi="Times New Roman" w:cs="Times New Roman"/>
          <w:lang w:val="zh-CN"/>
        </w:rPr>
      </w:pPr>
      <w:r>
        <w:rPr>
          <w:rFonts w:hint="eastAsia" w:ascii="Times New Roman" w:hAnsi="Times New Roman" w:cs="Times New Roman"/>
          <w:lang w:val="zh-CN"/>
        </w:rPr>
        <w:t>免责声明</w:t>
      </w:r>
    </w:p>
    <w:p>
      <w:pPr>
        <w:pStyle w:val="24"/>
        <w:ind w:firstLine="300" w:firstLineChars="200"/>
        <w:rPr>
          <w:rFonts w:hint="eastAsia" w:ascii="Times New Roman" w:hAnsi="Times New Roman" w:cs="Times New Roman"/>
          <w:lang w:val="zh-CN"/>
        </w:rPr>
      </w:pPr>
      <w:r>
        <w:rPr>
          <w:rFonts w:hint="eastAsia" w:ascii="Times New Roman" w:hAnsi="Times New Roman" w:cs="Times New Roman"/>
          <w:lang w:val="en-US" w:eastAsia="zh-CN"/>
        </w:rPr>
        <w:t>在质保期内，下列原因导致产品故障不属于三包服务范围：</w:t>
      </w:r>
    </w:p>
    <w:p>
      <w:pPr>
        <w:pStyle w:val="24"/>
        <w:ind w:firstLine="300" w:firstLine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（1）客户使用不当造成产品故障。</w:t>
      </w:r>
    </w:p>
    <w:p>
      <w:pPr>
        <w:pStyle w:val="24"/>
        <w:ind w:firstLine="300" w:firstLineChars="200"/>
        <w:rPr>
          <w:rFonts w:hint="eastAsia" w:ascii="Times New Roman" w:hAnsi="Times New Roman" w:cs="Times New Roman"/>
          <w:lang w:val="zh-CN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（2）客户对产品自行拆解、修理和改装造成产品故障</w:t>
      </w:r>
      <w:r>
        <w:rPr>
          <w:rFonts w:hint="eastAsia" w:ascii="Times New Roman" w:hAnsi="Times New Roman" w:cs="Times New Roman"/>
          <w:lang w:val="zh-CN" w:eastAsia="zh-CN"/>
        </w:rPr>
        <w:t>。</w:t>
      </w:r>
    </w:p>
    <w:p>
      <w:pPr>
        <w:rPr>
          <w:rFonts w:hint="eastAsia" w:ascii="Times New Roman" w:hAnsi="Times New Roman" w:cs="Times New Roman"/>
          <w:lang w:val="zh-CN" w:eastAsia="zh-CN"/>
        </w:rPr>
      </w:pPr>
      <w:r>
        <w:rPr>
          <w:rFonts w:hint="eastAsia" w:ascii="Times New Roman" w:hAnsi="Times New Roman" w:cs="Times New Roman"/>
          <w:lang w:val="zh-CN" w:eastAsia="zh-CN"/>
        </w:rPr>
        <w:br w:type="page"/>
      </w:r>
    </w:p>
    <w:p>
      <w:pPr>
        <w:pStyle w:val="24"/>
        <w:ind w:firstLine="300" w:firstLineChars="200"/>
        <w:rPr>
          <w:rFonts w:hint="eastAsia" w:ascii="Times New Roman" w:hAnsi="Times New Roman" w:cs="Times New Roman"/>
          <w:lang w:val="zh-CN" w:eastAsia="zh-CN"/>
        </w:rPr>
        <w:sectPr>
          <w:headerReference r:id="rId29" w:type="default"/>
          <w:footerReference r:id="rId31" w:type="default"/>
          <w:headerReference r:id="rId30" w:type="even"/>
          <w:footerReference r:id="rId32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/>
        <w:ind w:leftChars="0"/>
        <w:textAlignment w:val="auto"/>
        <w:rPr>
          <w:rFonts w:hint="eastAsia" w:ascii="Times New Roman" w:hAnsi="Times New Roman" w:eastAsia="宋体"/>
          <w:lang w:val="en-US" w:eastAsia="zh-CN"/>
        </w:rPr>
      </w:pPr>
      <w:bookmarkStart w:id="44" w:name="_Toc18233"/>
      <w:bookmarkStart w:id="45" w:name="_Toc28770"/>
      <w:r>
        <w:rPr>
          <w:rFonts w:hint="eastAsia" w:ascii="Times New Roman" w:hAnsi="Times New Roman" w:eastAsia="宋体"/>
          <w:lang w:val="en-US" w:eastAsia="zh-CN"/>
        </w:rPr>
        <w:t>附录：pH值与mV的对应关系</w:t>
      </w:r>
      <w:bookmarkEnd w:id="44"/>
      <w:bookmarkEnd w:id="45"/>
    </w:p>
    <w:p>
      <w:pPr>
        <w:pStyle w:val="26"/>
        <w:bidi w:val="0"/>
        <w:ind w:left="0" w:firstLine="0"/>
        <w:jc w:val="center"/>
        <w:rPr>
          <w:rFonts w:hint="default" w:ascii="Times New Roman" w:hAnsi="Times New Roman"/>
          <w:lang w:val="en-US" w:eastAsia="zh-CN"/>
        </w:rPr>
      </w:pPr>
      <w:r>
        <w:rPr>
          <w:rFonts w:hint="default" w:ascii="Times New Roman" w:hAnsi="Times New Roman"/>
          <w:lang w:val="en-US" w:eastAsia="zh-CN"/>
        </w:rPr>
        <w:t>25℃时</w:t>
      </w:r>
      <w:r>
        <w:rPr>
          <w:rFonts w:hint="eastAsia" w:ascii="Times New Roman" w:hAnsi="Times New Roman"/>
          <w:lang w:val="en-US" w:eastAsia="zh-CN"/>
        </w:rPr>
        <w:t>pH</w:t>
      </w:r>
      <w:r>
        <w:rPr>
          <w:rFonts w:hint="default" w:ascii="Times New Roman" w:hAnsi="Times New Roman"/>
          <w:lang w:val="en-US" w:eastAsia="zh-CN"/>
        </w:rPr>
        <w:t>值与毫伏值的对应关系</w:t>
      </w:r>
    </w:p>
    <w:tbl>
      <w:tblPr>
        <w:tblStyle w:val="19"/>
        <w:tblpPr w:leftFromText="180" w:rightFromText="180" w:vertAnchor="text" w:horzAnchor="page" w:tblpX="517" w:tblpY="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857"/>
        <w:gridCol w:w="965"/>
        <w:gridCol w:w="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873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2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电位差计(mV)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标</w:t>
            </w: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  <w:t>称pH</w:t>
            </w:r>
          </w:p>
        </w:tc>
        <w:tc>
          <w:tcPr>
            <w:tcW w:w="965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2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电位差计(mV)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标</w:t>
            </w: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  <w:t>称pH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414.12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0.00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-414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12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14.00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354.96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-354.96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13.00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295.80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2.00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-295.80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12.00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236.64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3.00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-236.64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177.48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4.00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-177.48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118.32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5.00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-118.32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9.00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59.16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6.00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-59.16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8.00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0.00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7.00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0.00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31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7.00</w:t>
            </w:r>
          </w:p>
        </w:tc>
      </w:tr>
    </w:tbl>
    <w:p>
      <w:pPr>
        <w:pStyle w:val="24"/>
        <w:ind w:firstLine="300" w:firstLineChars="200"/>
        <w:rPr>
          <w:rFonts w:hint="eastAsia" w:ascii="Times New Roman" w:hAnsi="Times New Roman" w:cs="Times New Roman"/>
          <w:lang w:val="zh-CN" w:eastAsia="zh-CN"/>
        </w:rPr>
      </w:pPr>
    </w:p>
    <w:p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outlineLvl w:val="9"/>
        <w:rPr>
          <w:rFonts w:hint="eastAsia" w:ascii="Times New Roman" w:hAnsi="Times New Roman" w:eastAsia="宋体" w:cs="Times New Roman"/>
          <w:szCs w:val="22"/>
          <w:lang w:val="en-US" w:eastAsia="zh-CN"/>
        </w:rPr>
      </w:pPr>
    </w:p>
    <w:p>
      <w:pPr>
        <w:pStyle w:val="13"/>
        <w:rPr>
          <w:rFonts w:hint="eastAsia" w:ascii="Times New Roman" w:hAnsi="Times New Roman" w:eastAsia="宋体" w:cs="Times New Roman"/>
          <w:szCs w:val="22"/>
          <w:lang w:val="en-US" w:eastAsia="zh-CN"/>
        </w:rPr>
      </w:pPr>
    </w:p>
    <w:p>
      <w:pPr>
        <w:pStyle w:val="13"/>
        <w:rPr>
          <w:rFonts w:hint="eastAsia" w:ascii="Times New Roman" w:hAnsi="Times New Roman" w:eastAsia="宋体" w:cs="Times New Roman"/>
          <w:szCs w:val="22"/>
          <w:lang w:val="en-US" w:eastAsia="zh-CN"/>
        </w:rPr>
      </w:pPr>
    </w:p>
    <w:sectPr>
      <w:headerReference r:id="rId33" w:type="default"/>
      <w:type w:val="continuous"/>
      <w:pgSz w:w="4422" w:h="6236"/>
      <w:pgMar w:top="567" w:right="397" w:bottom="567" w:left="397" w:header="283" w:footer="39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00"/>
      </w:pPr>
      <w:r>
        <w:separator/>
      </w:r>
    </w:p>
  </w:endnote>
  <w:endnote w:type="continuationSeparator" w:id="1">
    <w:p>
      <w:pPr>
        <w:spacing w:line="240" w:lineRule="auto"/>
        <w:ind w:firstLine="3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rFonts w:hint="eastAsia"/>
        <w:b/>
        <w:bCs/>
        <w:i w:val="0"/>
        <w:iCs w:val="0"/>
        <w:sz w:val="21"/>
        <w:szCs w:val="21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posOffset>1024890</wp:posOffset>
              </wp:positionH>
              <wp:positionV relativeFrom="paragraph">
                <wp:posOffset>0</wp:posOffset>
              </wp:positionV>
              <wp:extent cx="338455" cy="17462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455" cy="174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III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0.7pt;margin-top:0pt;height:13.75pt;width:26.65pt;mso-position-horizontal-relative:margin;z-index:251671552;mso-width-relative:page;mso-height-relative:page;" filled="f" stroked="f" coordsize="21600,21600" o:gfxdata="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icWMC1QAAAAcBAAAPAAAAAAAAAAEAIAAAACIAAABkcnMvZG93bnJl&#10;di54bWxQSwECFAAUAAAACACHTuJAobKGVzkCAABh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4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III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b/>
        <w:bCs/>
        <w:i w:val="0"/>
        <w:iCs w:val="0"/>
        <w:sz w:val="21"/>
        <w:szCs w:val="21"/>
        <w:lang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IV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IV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jc w:val="right"/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Sm0Zdj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left="0" w:leftChars="0" w:firstLine="0" w:firstLineChars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jztHcj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jc w:val="right"/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fKZujVAAAABwEAAA8AAAAAAAAAAQAgAAAAIgAAAGRycy9kb3ducmV2LnhtbFBL&#10;AQIUABQAAAAIAIdO4kC6jDgr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left="0" w:leftChars="0" w:firstLine="0" w:firstLineChars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N8pm6NUAAAAHAQAADwAAAAAAAAABACAAAAAiAAAAZHJzL2Rvd25yZXYueG1sUEsB&#10;AhQAFAAAAAgAh07iQOsAOHoxAgAAYw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bP7xkTECAABj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N8pm6NUAAAAHAQAADwAAAAAAAAABACAAAAAiAAAAZHJzL2Rvd25yZXYueG1sUEsB&#10;AhQAFAAAAAgAh07iQGz+8ZExAgAAYw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left="0" w:leftChars="0" w:firstLine="0" w:firstLineChars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IV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fKZujVAAAABwEAAA8AAAAAAAAAAQAgAAAAIgAAAGRycy9kb3ducmV2LnhtbFBL&#10;AQIUABQAAAAIAIdO4kAuVmZ+MgIAAGM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IV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IX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ljNLgD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IX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Lsn3AD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00"/>
      </w:pPr>
      <w:r>
        <w:separator/>
      </w:r>
    </w:p>
  </w:footnote>
  <w:footnote w:type="continuationSeparator" w:id="1">
    <w:p>
      <w:pPr>
        <w:spacing w:line="240" w:lineRule="auto"/>
        <w:ind w:firstLine="3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 w:val="0"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第二章 技术参数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 w:val="0"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第三章 产品结构与尺寸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第三章 产品结构与尺寸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 w:val="0"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第四章 安装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第四章 安装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default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第五章 电气连接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  <w:rPr>
        <w:rFonts w:hint="default" w:eastAsia="宋体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第五章 操作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default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第六章 电极校准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  <w:rPr>
        <w:rFonts w:hint="default" w:eastAsia="宋体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第六章 电极校准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default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第七章 电极使用与维护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  <w:rPr>
        <w:rFonts w:hint="default" w:eastAsia="宋体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第七章 电极使用与维护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pBdr>
        <w:bottom w:val="single" w:color="auto" w:sz="4" w:space="1"/>
      </w:pBdr>
      <w:ind w:left="0" w:leftChars="0" w:firstLine="0" w:firstLineChars="0"/>
      <w:jc w:val="right"/>
      <w:rPr>
        <w:rFonts w:hint="eastAsia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第八章 质保及售后服务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left"/>
      <w:textAlignment w:val="auto"/>
      <w:outlineLvl w:val="9"/>
      <w:rPr>
        <w:rFonts w:hint="default" w:eastAsia="宋体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第八章 质保及售后服务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eastAsia" w:ascii="Times New Roman" w:hAnsi="Times New Roman"/>
        <w:sz w:val="13"/>
        <w:szCs w:val="13"/>
        <w:lang w:val="en-US" w:eastAsia="zh-CN"/>
      </w:rPr>
    </w:pPr>
    <w:r>
      <w:rPr>
        <w:rFonts w:hint="eastAsia" w:ascii="Times New Roman" w:hAnsi="Times New Roman"/>
        <w:sz w:val="13"/>
        <w:szCs w:val="13"/>
        <w:lang w:val="en-US" w:eastAsia="zh-CN"/>
      </w:rPr>
      <w:t>附录：pH值与mV的对应关系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D0C4AA"/>
    <w:multiLevelType w:val="singleLevel"/>
    <w:tmpl w:val="B4D0C4AA"/>
    <w:lvl w:ilvl="0" w:tentative="0">
      <w:start w:val="1"/>
      <w:numFmt w:val="decimal"/>
      <w:pStyle w:val="26"/>
      <w:suff w:val="space"/>
      <w:lvlText w:val="表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5"/>
      </w:rPr>
    </w:lvl>
  </w:abstractNum>
  <w:abstractNum w:abstractNumId="1">
    <w:nsid w:val="BB04C573"/>
    <w:multiLevelType w:val="multilevel"/>
    <w:tmpl w:val="BB04C573"/>
    <w:lvl w:ilvl="0" w:tentative="0">
      <w:start w:val="1"/>
      <w:numFmt w:val="chineseCounting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eastAsia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75" w:hanging="575"/>
      </w:pPr>
      <w:rPr>
        <w:rFonts w:hint="eastAsia" w:ascii="Times New Roman" w:hAnsi="Times New Roman" w:eastAsia="宋体" w:cs="宋体"/>
        <w:b/>
        <w:sz w:val="18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2">
    <w:nsid w:val="C882D915"/>
    <w:multiLevelType w:val="multilevel"/>
    <w:tmpl w:val="C882D915"/>
    <w:lvl w:ilvl="0" w:tentative="0">
      <w:start w:val="1"/>
      <w:numFmt w:val="chineseCounting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eastAsia"/>
        <w:b/>
        <w:sz w:val="21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575" w:hanging="575"/>
      </w:pPr>
      <w:rPr>
        <w:rFonts w:hint="eastAsia" w:ascii="Times New Roman" w:hAnsi="Times New Roman" w:eastAsia="宋体" w:cs="宋体"/>
        <w:b/>
        <w:sz w:val="18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26124BD8"/>
    <w:multiLevelType w:val="multilevel"/>
    <w:tmpl w:val="26124BD8"/>
    <w:lvl w:ilvl="0" w:tentative="0">
      <w:start w:val="1"/>
      <w:numFmt w:val="decimal"/>
      <w:pStyle w:val="29"/>
      <w:suff w:val="space"/>
      <w:lvlText w:val="%1"/>
      <w:lvlJc w:val="left"/>
      <w:pPr>
        <w:ind w:left="425" w:hanging="425"/>
      </w:pPr>
      <w:rPr>
        <w:rFonts w:hint="eastAsia"/>
        <w:b/>
        <w:i w:val="0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  <w:b/>
        <w:i w:val="0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eastAsia"/>
        <w:b/>
        <w:i w:val="0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282D6471"/>
    <w:multiLevelType w:val="singleLevel"/>
    <w:tmpl w:val="282D6471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5"/>
      </w:rPr>
    </w:lvl>
  </w:abstractNum>
  <w:abstractNum w:abstractNumId="5">
    <w:nsid w:val="3199E086"/>
    <w:multiLevelType w:val="singleLevel"/>
    <w:tmpl w:val="3199E08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678F1AAA"/>
    <w:multiLevelType w:val="multilevel"/>
    <w:tmpl w:val="678F1AAA"/>
    <w:lvl w:ilvl="0" w:tentative="0">
      <w:start w:val="1"/>
      <w:numFmt w:val="bullet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yOTBiYTY3ZmRjZmVkMTE3NGM1NzZjZDdiMGY3MWEifQ=="/>
  </w:docVars>
  <w:rsids>
    <w:rsidRoot w:val="00172A27"/>
    <w:rsid w:val="00316493"/>
    <w:rsid w:val="00343688"/>
    <w:rsid w:val="003948FC"/>
    <w:rsid w:val="003D0E02"/>
    <w:rsid w:val="003E2E2D"/>
    <w:rsid w:val="0063205A"/>
    <w:rsid w:val="00661A95"/>
    <w:rsid w:val="00931E97"/>
    <w:rsid w:val="009D74DB"/>
    <w:rsid w:val="00C757D1"/>
    <w:rsid w:val="00F66C1B"/>
    <w:rsid w:val="00F748E9"/>
    <w:rsid w:val="02157350"/>
    <w:rsid w:val="025D392C"/>
    <w:rsid w:val="02DA4414"/>
    <w:rsid w:val="0325270D"/>
    <w:rsid w:val="036F29BB"/>
    <w:rsid w:val="037062B7"/>
    <w:rsid w:val="038007FC"/>
    <w:rsid w:val="038D6B83"/>
    <w:rsid w:val="046F38E7"/>
    <w:rsid w:val="04D51234"/>
    <w:rsid w:val="05320B6B"/>
    <w:rsid w:val="05F177DD"/>
    <w:rsid w:val="06353860"/>
    <w:rsid w:val="069A6E3A"/>
    <w:rsid w:val="071B09DB"/>
    <w:rsid w:val="09DF3C9B"/>
    <w:rsid w:val="0A324DA7"/>
    <w:rsid w:val="0A336A17"/>
    <w:rsid w:val="0AEB45B1"/>
    <w:rsid w:val="0B544446"/>
    <w:rsid w:val="0B545FE9"/>
    <w:rsid w:val="0B571FD1"/>
    <w:rsid w:val="0BB71088"/>
    <w:rsid w:val="0BE43D9F"/>
    <w:rsid w:val="0BEF02EF"/>
    <w:rsid w:val="0C1E45E3"/>
    <w:rsid w:val="0C365288"/>
    <w:rsid w:val="0C6962DD"/>
    <w:rsid w:val="0C794ED5"/>
    <w:rsid w:val="0CA81E23"/>
    <w:rsid w:val="0CBD6638"/>
    <w:rsid w:val="0CD623EE"/>
    <w:rsid w:val="0D1408C7"/>
    <w:rsid w:val="0DCD6066"/>
    <w:rsid w:val="0DF621F9"/>
    <w:rsid w:val="0EA812ED"/>
    <w:rsid w:val="0EC168D8"/>
    <w:rsid w:val="0EF83C1D"/>
    <w:rsid w:val="0FA26F9F"/>
    <w:rsid w:val="0FBB61AA"/>
    <w:rsid w:val="101D790A"/>
    <w:rsid w:val="1024283E"/>
    <w:rsid w:val="108F3935"/>
    <w:rsid w:val="10CF186B"/>
    <w:rsid w:val="10F56FF5"/>
    <w:rsid w:val="10F933DB"/>
    <w:rsid w:val="111E70CF"/>
    <w:rsid w:val="11364D71"/>
    <w:rsid w:val="113B7675"/>
    <w:rsid w:val="11DD7D16"/>
    <w:rsid w:val="12373A0B"/>
    <w:rsid w:val="1299451E"/>
    <w:rsid w:val="12A35F41"/>
    <w:rsid w:val="12DD3E89"/>
    <w:rsid w:val="13174FE6"/>
    <w:rsid w:val="13B01E32"/>
    <w:rsid w:val="13B170E2"/>
    <w:rsid w:val="14EA263A"/>
    <w:rsid w:val="15205B91"/>
    <w:rsid w:val="15874796"/>
    <w:rsid w:val="15907A79"/>
    <w:rsid w:val="163E7FF5"/>
    <w:rsid w:val="16675451"/>
    <w:rsid w:val="166F2FA1"/>
    <w:rsid w:val="174A3666"/>
    <w:rsid w:val="17630C06"/>
    <w:rsid w:val="17700163"/>
    <w:rsid w:val="185C4A45"/>
    <w:rsid w:val="189C522C"/>
    <w:rsid w:val="18BA447E"/>
    <w:rsid w:val="18F90F15"/>
    <w:rsid w:val="192A6818"/>
    <w:rsid w:val="197C20BF"/>
    <w:rsid w:val="198E3708"/>
    <w:rsid w:val="199154E7"/>
    <w:rsid w:val="19D40A94"/>
    <w:rsid w:val="19DB03E1"/>
    <w:rsid w:val="19EB09C2"/>
    <w:rsid w:val="19F25D64"/>
    <w:rsid w:val="1A0C0B9D"/>
    <w:rsid w:val="1A2710F9"/>
    <w:rsid w:val="1A944EB3"/>
    <w:rsid w:val="1B8927E7"/>
    <w:rsid w:val="1BEA25C0"/>
    <w:rsid w:val="1C5839DE"/>
    <w:rsid w:val="1CA71D6D"/>
    <w:rsid w:val="1CFE4753"/>
    <w:rsid w:val="1D90163A"/>
    <w:rsid w:val="1DDF67CE"/>
    <w:rsid w:val="1E5462E3"/>
    <w:rsid w:val="1EF743DF"/>
    <w:rsid w:val="1EFF028B"/>
    <w:rsid w:val="1F2118D6"/>
    <w:rsid w:val="1F5A3067"/>
    <w:rsid w:val="1F5B12DC"/>
    <w:rsid w:val="1F6050C1"/>
    <w:rsid w:val="1FDF2DC6"/>
    <w:rsid w:val="20772B53"/>
    <w:rsid w:val="20FF492B"/>
    <w:rsid w:val="215E5111"/>
    <w:rsid w:val="21AC420C"/>
    <w:rsid w:val="22285372"/>
    <w:rsid w:val="23422AA8"/>
    <w:rsid w:val="240E5325"/>
    <w:rsid w:val="24824432"/>
    <w:rsid w:val="24C2729A"/>
    <w:rsid w:val="24C356F2"/>
    <w:rsid w:val="256D308F"/>
    <w:rsid w:val="261533A0"/>
    <w:rsid w:val="263D6D7A"/>
    <w:rsid w:val="267262F1"/>
    <w:rsid w:val="2675355F"/>
    <w:rsid w:val="269E2E34"/>
    <w:rsid w:val="269F0ABF"/>
    <w:rsid w:val="26B96A93"/>
    <w:rsid w:val="273D00A2"/>
    <w:rsid w:val="275064EE"/>
    <w:rsid w:val="278B1882"/>
    <w:rsid w:val="27985FC1"/>
    <w:rsid w:val="27F234AB"/>
    <w:rsid w:val="282D0A39"/>
    <w:rsid w:val="28B84720"/>
    <w:rsid w:val="28F414C3"/>
    <w:rsid w:val="2A4829E1"/>
    <w:rsid w:val="2ABC2027"/>
    <w:rsid w:val="2ADB6206"/>
    <w:rsid w:val="2AFB0D9B"/>
    <w:rsid w:val="2B1528DD"/>
    <w:rsid w:val="2B4D4EB3"/>
    <w:rsid w:val="2B6F6EE5"/>
    <w:rsid w:val="2BCF766C"/>
    <w:rsid w:val="2BDA0037"/>
    <w:rsid w:val="2C587843"/>
    <w:rsid w:val="2C90590B"/>
    <w:rsid w:val="2C98186F"/>
    <w:rsid w:val="2D0671E8"/>
    <w:rsid w:val="2D5355D5"/>
    <w:rsid w:val="2D5D257E"/>
    <w:rsid w:val="2DB22E49"/>
    <w:rsid w:val="2E691BDD"/>
    <w:rsid w:val="2E723E3F"/>
    <w:rsid w:val="2ED55364"/>
    <w:rsid w:val="2EDA2EB1"/>
    <w:rsid w:val="2F867F91"/>
    <w:rsid w:val="2FB7691B"/>
    <w:rsid w:val="2FF85CA6"/>
    <w:rsid w:val="30BC2871"/>
    <w:rsid w:val="30F92421"/>
    <w:rsid w:val="313F4FE9"/>
    <w:rsid w:val="315F5136"/>
    <w:rsid w:val="317B31B6"/>
    <w:rsid w:val="31A66E61"/>
    <w:rsid w:val="31DD02F4"/>
    <w:rsid w:val="31E518E1"/>
    <w:rsid w:val="320B1BE2"/>
    <w:rsid w:val="321F17B5"/>
    <w:rsid w:val="33981A50"/>
    <w:rsid w:val="33D14E33"/>
    <w:rsid w:val="34D272BF"/>
    <w:rsid w:val="34DC2E7B"/>
    <w:rsid w:val="34E213D5"/>
    <w:rsid w:val="34F87309"/>
    <w:rsid w:val="353C65E0"/>
    <w:rsid w:val="35C56ED8"/>
    <w:rsid w:val="35C6239F"/>
    <w:rsid w:val="36514D1A"/>
    <w:rsid w:val="365A75B8"/>
    <w:rsid w:val="36981020"/>
    <w:rsid w:val="36BD7A6F"/>
    <w:rsid w:val="37441211"/>
    <w:rsid w:val="375B041A"/>
    <w:rsid w:val="37740BEA"/>
    <w:rsid w:val="379A26EF"/>
    <w:rsid w:val="37B8259E"/>
    <w:rsid w:val="383D4D12"/>
    <w:rsid w:val="38411EF6"/>
    <w:rsid w:val="385E2D07"/>
    <w:rsid w:val="38D95AF5"/>
    <w:rsid w:val="38E11BD1"/>
    <w:rsid w:val="3950636C"/>
    <w:rsid w:val="398B3BB8"/>
    <w:rsid w:val="399A2EB5"/>
    <w:rsid w:val="3A086C1B"/>
    <w:rsid w:val="3B385521"/>
    <w:rsid w:val="3B391E17"/>
    <w:rsid w:val="3B996D55"/>
    <w:rsid w:val="3BB54054"/>
    <w:rsid w:val="3C2172FB"/>
    <w:rsid w:val="3D8D3BBA"/>
    <w:rsid w:val="3DB124AD"/>
    <w:rsid w:val="3DC50584"/>
    <w:rsid w:val="3DCE63A7"/>
    <w:rsid w:val="3DF64EA5"/>
    <w:rsid w:val="3E3E261A"/>
    <w:rsid w:val="3EB10607"/>
    <w:rsid w:val="3F455B17"/>
    <w:rsid w:val="3FC21F2C"/>
    <w:rsid w:val="3FE94C8D"/>
    <w:rsid w:val="3FF06BBE"/>
    <w:rsid w:val="401E6758"/>
    <w:rsid w:val="40231751"/>
    <w:rsid w:val="40313719"/>
    <w:rsid w:val="404D0A3E"/>
    <w:rsid w:val="410B7984"/>
    <w:rsid w:val="413057DE"/>
    <w:rsid w:val="419A7BC1"/>
    <w:rsid w:val="41CC00D8"/>
    <w:rsid w:val="41E070A4"/>
    <w:rsid w:val="41F61BE6"/>
    <w:rsid w:val="42F45658"/>
    <w:rsid w:val="4327371C"/>
    <w:rsid w:val="43487CF9"/>
    <w:rsid w:val="441675D1"/>
    <w:rsid w:val="44544E91"/>
    <w:rsid w:val="45F65B38"/>
    <w:rsid w:val="460D218B"/>
    <w:rsid w:val="461E5D01"/>
    <w:rsid w:val="462227F2"/>
    <w:rsid w:val="46714D5B"/>
    <w:rsid w:val="46A56D72"/>
    <w:rsid w:val="46C779A0"/>
    <w:rsid w:val="474F6285"/>
    <w:rsid w:val="47534CD1"/>
    <w:rsid w:val="47536476"/>
    <w:rsid w:val="47683ECB"/>
    <w:rsid w:val="4775128C"/>
    <w:rsid w:val="477A1C6E"/>
    <w:rsid w:val="48212F1D"/>
    <w:rsid w:val="484F2E4A"/>
    <w:rsid w:val="48961CBE"/>
    <w:rsid w:val="48991FBF"/>
    <w:rsid w:val="48CE431D"/>
    <w:rsid w:val="48F60953"/>
    <w:rsid w:val="49C01117"/>
    <w:rsid w:val="4A0D2F51"/>
    <w:rsid w:val="4A457B38"/>
    <w:rsid w:val="4AB03F0D"/>
    <w:rsid w:val="4AC570F7"/>
    <w:rsid w:val="4B774B7A"/>
    <w:rsid w:val="4BB15051"/>
    <w:rsid w:val="4C1C6894"/>
    <w:rsid w:val="4C580288"/>
    <w:rsid w:val="4C6F4A6E"/>
    <w:rsid w:val="4CDD4DDE"/>
    <w:rsid w:val="4D2A4CD0"/>
    <w:rsid w:val="4E4C2D22"/>
    <w:rsid w:val="4E4D7D7B"/>
    <w:rsid w:val="4EB5627A"/>
    <w:rsid w:val="4F2656EC"/>
    <w:rsid w:val="4FDD6790"/>
    <w:rsid w:val="4FE11F38"/>
    <w:rsid w:val="507E4452"/>
    <w:rsid w:val="50CE56A7"/>
    <w:rsid w:val="50DE64A4"/>
    <w:rsid w:val="512374E3"/>
    <w:rsid w:val="514B205B"/>
    <w:rsid w:val="51AD3CA5"/>
    <w:rsid w:val="522E132B"/>
    <w:rsid w:val="528F0BC4"/>
    <w:rsid w:val="52A56A2F"/>
    <w:rsid w:val="52E56AC0"/>
    <w:rsid w:val="539F4C8A"/>
    <w:rsid w:val="53BD00F5"/>
    <w:rsid w:val="54551696"/>
    <w:rsid w:val="547A7403"/>
    <w:rsid w:val="54964CB4"/>
    <w:rsid w:val="5547369A"/>
    <w:rsid w:val="555D200C"/>
    <w:rsid w:val="557029FD"/>
    <w:rsid w:val="561C3E9A"/>
    <w:rsid w:val="564308C4"/>
    <w:rsid w:val="56853850"/>
    <w:rsid w:val="569B5B19"/>
    <w:rsid w:val="56AA0A5A"/>
    <w:rsid w:val="56DC6579"/>
    <w:rsid w:val="575C5E87"/>
    <w:rsid w:val="580A1CD6"/>
    <w:rsid w:val="58250F54"/>
    <w:rsid w:val="589468FD"/>
    <w:rsid w:val="58E36926"/>
    <w:rsid w:val="59824E44"/>
    <w:rsid w:val="59C85979"/>
    <w:rsid w:val="59E9654A"/>
    <w:rsid w:val="5A2958FA"/>
    <w:rsid w:val="5A726530"/>
    <w:rsid w:val="5A90444B"/>
    <w:rsid w:val="5AA61427"/>
    <w:rsid w:val="5B1272E2"/>
    <w:rsid w:val="5B6E2A78"/>
    <w:rsid w:val="5BC85766"/>
    <w:rsid w:val="5CDF4D21"/>
    <w:rsid w:val="5D2C7432"/>
    <w:rsid w:val="5E073EB7"/>
    <w:rsid w:val="5E691DD7"/>
    <w:rsid w:val="5EC755E0"/>
    <w:rsid w:val="5F83262E"/>
    <w:rsid w:val="602644E0"/>
    <w:rsid w:val="60941191"/>
    <w:rsid w:val="61837ECF"/>
    <w:rsid w:val="61CF54E2"/>
    <w:rsid w:val="61E602A6"/>
    <w:rsid w:val="62325675"/>
    <w:rsid w:val="626E7300"/>
    <w:rsid w:val="629F3F0D"/>
    <w:rsid w:val="633E6C51"/>
    <w:rsid w:val="63C93C2A"/>
    <w:rsid w:val="64975FBE"/>
    <w:rsid w:val="650D206D"/>
    <w:rsid w:val="656C293E"/>
    <w:rsid w:val="658C408B"/>
    <w:rsid w:val="65E37A7F"/>
    <w:rsid w:val="662B7ACD"/>
    <w:rsid w:val="66486F86"/>
    <w:rsid w:val="66B6278D"/>
    <w:rsid w:val="66F120D7"/>
    <w:rsid w:val="670B1D8D"/>
    <w:rsid w:val="67607B51"/>
    <w:rsid w:val="67E137DD"/>
    <w:rsid w:val="67E22ADD"/>
    <w:rsid w:val="68034910"/>
    <w:rsid w:val="68870FA1"/>
    <w:rsid w:val="68D72869"/>
    <w:rsid w:val="68E555DC"/>
    <w:rsid w:val="69187733"/>
    <w:rsid w:val="69201621"/>
    <w:rsid w:val="693D742C"/>
    <w:rsid w:val="69487D5A"/>
    <w:rsid w:val="6971117C"/>
    <w:rsid w:val="6B232599"/>
    <w:rsid w:val="6B6421AD"/>
    <w:rsid w:val="6B8C28EC"/>
    <w:rsid w:val="6BD116D9"/>
    <w:rsid w:val="6C0916A4"/>
    <w:rsid w:val="6C125067"/>
    <w:rsid w:val="6C36301B"/>
    <w:rsid w:val="6C3C03E7"/>
    <w:rsid w:val="6C6559C5"/>
    <w:rsid w:val="6C6D7E69"/>
    <w:rsid w:val="6D382D7D"/>
    <w:rsid w:val="6EF1114B"/>
    <w:rsid w:val="70514307"/>
    <w:rsid w:val="709C63F4"/>
    <w:rsid w:val="70D0751F"/>
    <w:rsid w:val="70E22F7E"/>
    <w:rsid w:val="70EE5C84"/>
    <w:rsid w:val="71453413"/>
    <w:rsid w:val="71651BDE"/>
    <w:rsid w:val="717B6461"/>
    <w:rsid w:val="71C64A05"/>
    <w:rsid w:val="723A7EFC"/>
    <w:rsid w:val="725D6BA0"/>
    <w:rsid w:val="72966F4E"/>
    <w:rsid w:val="72EE6DCA"/>
    <w:rsid w:val="730E4318"/>
    <w:rsid w:val="73162D52"/>
    <w:rsid w:val="736D4CB8"/>
    <w:rsid w:val="741E6E4A"/>
    <w:rsid w:val="7457264C"/>
    <w:rsid w:val="74BD6AE7"/>
    <w:rsid w:val="74F064D4"/>
    <w:rsid w:val="751B0E85"/>
    <w:rsid w:val="759F3762"/>
    <w:rsid w:val="75D47790"/>
    <w:rsid w:val="772134E4"/>
    <w:rsid w:val="77502347"/>
    <w:rsid w:val="776749CB"/>
    <w:rsid w:val="77D81DE6"/>
    <w:rsid w:val="78505938"/>
    <w:rsid w:val="78AA7A87"/>
    <w:rsid w:val="79391C40"/>
    <w:rsid w:val="794E1B64"/>
    <w:rsid w:val="7A076E71"/>
    <w:rsid w:val="7A3766B8"/>
    <w:rsid w:val="7AEA7832"/>
    <w:rsid w:val="7B2A0808"/>
    <w:rsid w:val="7B6F3857"/>
    <w:rsid w:val="7B7919F2"/>
    <w:rsid w:val="7BCE23B5"/>
    <w:rsid w:val="7BD06554"/>
    <w:rsid w:val="7C646742"/>
    <w:rsid w:val="7C9913D5"/>
    <w:rsid w:val="7D4A76D7"/>
    <w:rsid w:val="7D4C7F1E"/>
    <w:rsid w:val="7E872C99"/>
    <w:rsid w:val="7F2B77D1"/>
    <w:rsid w:val="7F531C9F"/>
    <w:rsid w:val="7FAF7568"/>
    <w:rsid w:val="7FD9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ind w:firstLine="562" w:firstLineChars="200"/>
      <w:jc w:val="left"/>
    </w:pPr>
    <w:rPr>
      <w:rFonts w:ascii="Times New Roman" w:hAnsi="Times New Roman" w:eastAsia="宋体" w:cstheme="minorBidi"/>
      <w:kern w:val="2"/>
      <w:sz w:val="15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0" w:beforeLines="30" w:beforeAutospacing="0" w:after="30" w:afterLines="30" w:afterAutospacing="0" w:line="240" w:lineRule="auto"/>
      <w:ind w:left="432" w:hanging="432" w:firstLineChars="0"/>
      <w:outlineLvl w:val="0"/>
    </w:pPr>
    <w:rPr>
      <w:rFonts w:ascii="Times New Roman" w:hAnsi="Times New Roman" w:eastAsia="宋体" w:cs="Times New Roman"/>
      <w:b/>
      <w:kern w:val="44"/>
      <w:sz w:val="21"/>
    </w:rPr>
  </w:style>
  <w:style w:type="paragraph" w:styleId="3">
    <w:name w:val="heading 2"/>
    <w:next w:val="1"/>
    <w:unhideWhenUsed/>
    <w:qFormat/>
    <w:uiPriority w:val="0"/>
    <w:pPr>
      <w:keepNext/>
      <w:keepLines/>
      <w:numPr>
        <w:ilvl w:val="1"/>
        <w:numId w:val="1"/>
      </w:numPr>
      <w:tabs>
        <w:tab w:val="left" w:pos="420"/>
        <w:tab w:val="clear" w:pos="0"/>
      </w:tabs>
      <w:spacing w:beforeAutospacing="0" w:afterAutospacing="0" w:line="240" w:lineRule="auto"/>
      <w:ind w:left="575" w:hanging="575"/>
      <w:outlineLvl w:val="1"/>
    </w:pPr>
    <w:rPr>
      <w:rFonts w:ascii="Times New Roman" w:hAnsi="Times New Roman" w:eastAsia="宋体" w:cs="Times New Roman"/>
      <w:b/>
      <w:sz w:val="18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tabs>
        <w:tab w:val="left" w:pos="420"/>
      </w:tabs>
      <w:spacing w:beforeAutospacing="0" w:afterAutospacing="0" w:line="240" w:lineRule="auto"/>
      <w:ind w:left="720" w:hanging="720" w:firstLineChars="0"/>
      <w:outlineLvl w:val="2"/>
    </w:pPr>
    <w:rPr>
      <w:rFonts w:ascii="Times New Roman" w:hAnsi="Times New Roman" w:eastAsia="宋体" w:cs="Times New Roman"/>
      <w:b/>
      <w:sz w:val="16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12">
    <w:name w:val="annotation text"/>
    <w:basedOn w:val="1"/>
    <w:qFormat/>
    <w:uiPriority w:val="0"/>
    <w:pPr>
      <w:jc w:val="left"/>
    </w:pPr>
  </w:style>
  <w:style w:type="paragraph" w:styleId="13">
    <w:name w:val="Body Text"/>
    <w:basedOn w:val="1"/>
    <w:qFormat/>
    <w:uiPriority w:val="0"/>
    <w:pPr>
      <w:spacing w:after="120" w:afterLines="0" w:afterAutospacing="0"/>
    </w:p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left"/>
    </w:p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toc 1"/>
    <w:next w:val="1"/>
    <w:qFormat/>
    <w:uiPriority w:val="0"/>
    <w:pPr>
      <w:spacing w:line="280" w:lineRule="exact"/>
      <w:ind w:firstLine="0" w:firstLineChars="0"/>
    </w:pPr>
    <w:rPr>
      <w:rFonts w:ascii="Times New Roman" w:hAnsi="Times New Roman" w:eastAsia="宋体" w:cs="Times New Roman"/>
      <w:b/>
      <w:sz w:val="15"/>
    </w:rPr>
  </w:style>
  <w:style w:type="paragraph" w:styleId="17">
    <w:name w:val="toc 2"/>
    <w:basedOn w:val="1"/>
    <w:next w:val="1"/>
    <w:qFormat/>
    <w:uiPriority w:val="0"/>
    <w:pPr>
      <w:ind w:left="0" w:leftChars="0"/>
    </w:pPr>
    <w:rPr>
      <w:rFonts w:ascii="Times New Roman" w:hAnsi="Times New Roman"/>
    </w:rPr>
  </w:style>
  <w:style w:type="paragraph" w:styleId="18">
    <w:name w:val="Normal (Web)"/>
    <w:basedOn w:val="1"/>
    <w:qFormat/>
    <w:uiPriority w:val="0"/>
    <w:rPr>
      <w:sz w:val="24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0"/>
    <w:rPr>
      <w:b/>
    </w:rPr>
  </w:style>
  <w:style w:type="paragraph" w:customStyle="1" w:styleId="23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4">
    <w:name w:val="A7正文"/>
    <w:basedOn w:val="1"/>
    <w:qFormat/>
    <w:uiPriority w:val="0"/>
    <w:pPr>
      <w:spacing w:line="240" w:lineRule="exact"/>
      <w:ind w:firstLine="0" w:firstLineChars="0"/>
    </w:pPr>
    <w:rPr>
      <w:rFonts w:ascii="Times New Roman" w:hAnsi="Times New Roman" w:eastAsia="宋体" w:cs="Times New Roman"/>
      <w:sz w:val="15"/>
      <w:szCs w:val="24"/>
    </w:rPr>
  </w:style>
  <w:style w:type="paragraph" w:customStyle="1" w:styleId="25">
    <w:name w:val="A7图序号"/>
    <w:basedOn w:val="1"/>
    <w:qFormat/>
    <w:uiPriority w:val="0"/>
    <w:pPr>
      <w:numPr>
        <w:ilvl w:val="0"/>
        <w:numId w:val="3"/>
      </w:numPr>
      <w:ind w:left="0" w:firstLine="0" w:firstLineChars="0"/>
      <w:jc w:val="center"/>
    </w:pPr>
    <w:rPr>
      <w:rFonts w:ascii="Times New Roman" w:hAnsi="Times New Roman"/>
    </w:rPr>
  </w:style>
  <w:style w:type="paragraph" w:customStyle="1" w:styleId="26">
    <w:name w:val="A7表序号"/>
    <w:basedOn w:val="1"/>
    <w:qFormat/>
    <w:uiPriority w:val="0"/>
    <w:pPr>
      <w:numPr>
        <w:ilvl w:val="0"/>
        <w:numId w:val="4"/>
      </w:numPr>
      <w:ind w:left="0" w:firstLine="0" w:firstLineChars="0"/>
      <w:jc w:val="center"/>
    </w:pPr>
    <w:rPr>
      <w:rFonts w:ascii="Times New Roman" w:hAnsi="Times New Roman"/>
    </w:rPr>
  </w:style>
  <w:style w:type="paragraph" w:customStyle="1" w:styleId="27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8">
    <w:name w:val="A7标题1"/>
    <w:basedOn w:val="1"/>
    <w:qFormat/>
    <w:uiPriority w:val="0"/>
  </w:style>
  <w:style w:type="paragraph" w:customStyle="1" w:styleId="29">
    <w:name w:val="标题1"/>
    <w:basedOn w:val="1"/>
    <w:qFormat/>
    <w:uiPriority w:val="0"/>
    <w:pPr>
      <w:keepNext/>
      <w:numPr>
        <w:ilvl w:val="0"/>
        <w:numId w:val="5"/>
      </w:numPr>
      <w:spacing w:before="30" w:beforeLines="30" w:after="30" w:afterLines="30"/>
      <w:ind w:left="0" w:hanging="202" w:hangingChars="202"/>
      <w:jc w:val="left"/>
      <w:outlineLvl w:val="0"/>
    </w:pPr>
    <w:rPr>
      <w:b/>
      <w:sz w:val="32"/>
    </w:rPr>
  </w:style>
  <w:style w:type="paragraph" w:customStyle="1" w:styleId="30">
    <w:name w:val="A7标题2"/>
    <w:basedOn w:val="1"/>
    <w:qFormat/>
    <w:uiPriority w:val="0"/>
  </w:style>
  <w:style w:type="paragraph" w:customStyle="1" w:styleId="31">
    <w:name w:val="Table Paragraph"/>
    <w:basedOn w:val="1"/>
    <w:unhideWhenUsed/>
    <w:qFormat/>
    <w:uiPriority w:val="1"/>
    <w:pPr>
      <w:spacing w:before="32" w:beforeLines="0" w:afterLines="0"/>
      <w:ind w:left="16" w:right="88"/>
      <w:jc w:val="center"/>
    </w:pPr>
    <w:rPr>
      <w:rFonts w:hint="default" w:ascii="Times New Roman" w:hAnsi="Times New Roman" w:eastAsia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8" Type="http://schemas.openxmlformats.org/officeDocument/2006/relationships/fontTable" Target="fontTable.xml"/><Relationship Id="rId47" Type="http://schemas.openxmlformats.org/officeDocument/2006/relationships/numbering" Target="numbering.xml"/><Relationship Id="rId46" Type="http://schemas.openxmlformats.org/officeDocument/2006/relationships/customXml" Target="../customXml/item1.xml"/><Relationship Id="rId45" Type="http://schemas.openxmlformats.org/officeDocument/2006/relationships/image" Target="media/image7.emf"/><Relationship Id="rId44" Type="http://schemas.openxmlformats.org/officeDocument/2006/relationships/oleObject" Target="embeddings/oleObject4.bin"/><Relationship Id="rId43" Type="http://schemas.openxmlformats.org/officeDocument/2006/relationships/image" Target="media/image6.emf"/><Relationship Id="rId42" Type="http://schemas.openxmlformats.org/officeDocument/2006/relationships/oleObject" Target="embeddings/oleObject3.bin"/><Relationship Id="rId41" Type="http://schemas.openxmlformats.org/officeDocument/2006/relationships/image" Target="media/image5.emf"/><Relationship Id="rId40" Type="http://schemas.openxmlformats.org/officeDocument/2006/relationships/image" Target="media/image4.png"/><Relationship Id="rId4" Type="http://schemas.openxmlformats.org/officeDocument/2006/relationships/endnotes" Target="endnotes.xml"/><Relationship Id="rId39" Type="http://schemas.openxmlformats.org/officeDocument/2006/relationships/image" Target="media/image3.jpeg"/><Relationship Id="rId38" Type="http://schemas.openxmlformats.org/officeDocument/2006/relationships/oleObject" Target="embeddings/oleObject2.bin"/><Relationship Id="rId37" Type="http://schemas.openxmlformats.org/officeDocument/2006/relationships/image" Target="media/image2.png"/><Relationship Id="rId36" Type="http://schemas.openxmlformats.org/officeDocument/2006/relationships/image" Target="media/image1.emf"/><Relationship Id="rId35" Type="http://schemas.openxmlformats.org/officeDocument/2006/relationships/oleObject" Target="embeddings/oleObject1.bin"/><Relationship Id="rId34" Type="http://schemas.openxmlformats.org/officeDocument/2006/relationships/theme" Target="theme/theme1.xml"/><Relationship Id="rId33" Type="http://schemas.openxmlformats.org/officeDocument/2006/relationships/header" Target="header18.xml"/><Relationship Id="rId32" Type="http://schemas.openxmlformats.org/officeDocument/2006/relationships/footer" Target="footer11.xml"/><Relationship Id="rId31" Type="http://schemas.openxmlformats.org/officeDocument/2006/relationships/footer" Target="footer10.xml"/><Relationship Id="rId30" Type="http://schemas.openxmlformats.org/officeDocument/2006/relationships/header" Target="header17.xml"/><Relationship Id="rId3" Type="http://schemas.openxmlformats.org/officeDocument/2006/relationships/footnotes" Target="footnotes.xml"/><Relationship Id="rId29" Type="http://schemas.openxmlformats.org/officeDocument/2006/relationships/header" Target="header16.xml"/><Relationship Id="rId28" Type="http://schemas.openxmlformats.org/officeDocument/2006/relationships/header" Target="header15.xml"/><Relationship Id="rId27" Type="http://schemas.openxmlformats.org/officeDocument/2006/relationships/header" Target="header14.xml"/><Relationship Id="rId26" Type="http://schemas.openxmlformats.org/officeDocument/2006/relationships/header" Target="header13.xml"/><Relationship Id="rId25" Type="http://schemas.openxmlformats.org/officeDocument/2006/relationships/header" Target="header12.xml"/><Relationship Id="rId24" Type="http://schemas.openxmlformats.org/officeDocument/2006/relationships/footer" Target="footer9.xml"/><Relationship Id="rId23" Type="http://schemas.openxmlformats.org/officeDocument/2006/relationships/footer" Target="footer8.xml"/><Relationship Id="rId22" Type="http://schemas.openxmlformats.org/officeDocument/2006/relationships/header" Target="header11.xml"/><Relationship Id="rId21" Type="http://schemas.openxmlformats.org/officeDocument/2006/relationships/header" Target="header10.xml"/><Relationship Id="rId20" Type="http://schemas.openxmlformats.org/officeDocument/2006/relationships/header" Target="header9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header" Target="header7.xml"/><Relationship Id="rId17" Type="http://schemas.openxmlformats.org/officeDocument/2006/relationships/header" Target="header6.xml"/><Relationship Id="rId16" Type="http://schemas.openxmlformats.org/officeDocument/2006/relationships/footer" Target="footer7.xml"/><Relationship Id="rId15" Type="http://schemas.openxmlformats.org/officeDocument/2006/relationships/footer" Target="footer6.xml"/><Relationship Id="rId14" Type="http://schemas.openxmlformats.org/officeDocument/2006/relationships/header" Target="header5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>
      <sectNamePr val="目录"/>
    </customSectPr>
    <customSectPr>
      <sectNamePr val="正文"/>
    </customSectPr>
    <customSectPr>
      <sectNamePr val="正文"/>
    </customSectPr>
    <customSectPr/>
    <customSectPr/>
    <customSectPr>
      <sectNamePr val="正文"/>
    </customSectPr>
    <customSectPr/>
    <customSectPr/>
    <customSectPr>
      <sectNamePr val="封底"/>
    </customSectPr>
    <customSectPr>
      <sectNamePr val="封底"/>
    </customSectPr>
  </customSectProps>
  <customShpExts>
    <customShpInfo spid="_x0000_s1026" textRotate="1"/>
    <customShpInfo spid="_x0000_s1050"/>
    <customShpInfo spid="_x0000_s104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2131</Words>
  <Characters>2530</Characters>
  <Lines>13</Lines>
  <Paragraphs>3</Paragraphs>
  <TotalTime>5</TotalTime>
  <ScaleCrop>false</ScaleCrop>
  <LinksUpToDate>false</LinksUpToDate>
  <CharactersWithSpaces>2699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ZZH</dc:creator>
  <cp:lastModifiedBy>JGX</cp:lastModifiedBy>
  <cp:lastPrinted>2018-12-20T07:41:00Z</cp:lastPrinted>
  <dcterms:modified xsi:type="dcterms:W3CDTF">2025-11-21T01:17:57Z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A6B30B7D85D5424BA2D5B1DF02F39742</vt:lpwstr>
  </property>
</Properties>
</file>